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392EB" w14:textId="7F11FF6F" w:rsidR="00927848" w:rsidRDefault="00927848" w:rsidP="0090591E">
      <w:pPr>
        <w:pStyle w:val="BodyText"/>
      </w:pPr>
    </w:p>
    <w:p w14:paraId="431F7E3C" w14:textId="77777777" w:rsidR="00CB738A" w:rsidRDefault="00CB738A" w:rsidP="00821C35">
      <w:pPr>
        <w:pStyle w:val="BodyText"/>
        <w:jc w:val="both"/>
        <w:rPr>
          <w:rFonts w:cs="Arial"/>
        </w:rPr>
      </w:pPr>
    </w:p>
    <w:p w14:paraId="4F34C8D9" w14:textId="5EFE46EC" w:rsidR="00486E55" w:rsidRPr="00CB738A" w:rsidRDefault="005D1355" w:rsidP="00821C35">
      <w:pPr>
        <w:pStyle w:val="BodyText"/>
        <w:jc w:val="both"/>
        <w:rPr>
          <w:rFonts w:cs="Arial"/>
        </w:rPr>
      </w:pPr>
      <w:r w:rsidRPr="00CB738A">
        <w:rPr>
          <w:rFonts w:cs="Arial"/>
        </w:rPr>
        <w:t xml:space="preserve">This document is to support applicants applying for a transitional water resources licence to continue a previously exempt abstraction. It supports Application Form WRH and Guidance Note </w:t>
      </w:r>
      <w:r w:rsidRPr="00CB738A">
        <w:rPr>
          <w:rFonts w:cs="Arial"/>
          <w:color w:val="auto"/>
        </w:rPr>
        <w:t>WRH</w:t>
      </w:r>
      <w:r w:rsidR="00387659" w:rsidRPr="00CB738A">
        <w:rPr>
          <w:rStyle w:val="Hyperlink"/>
          <w:rFonts w:cs="Arial"/>
          <w:color w:val="auto"/>
          <w:u w:val="none"/>
        </w:rPr>
        <w:t xml:space="preserve"> available on our </w:t>
      </w:r>
      <w:hyperlink r:id="rId13" w:history="1">
        <w:r w:rsidR="00387659" w:rsidRPr="00CB738A">
          <w:rPr>
            <w:rStyle w:val="Hyperlink"/>
            <w:rFonts w:cs="Arial"/>
          </w:rPr>
          <w:t>website</w:t>
        </w:r>
      </w:hyperlink>
      <w:r w:rsidR="00C216FB" w:rsidRPr="00CB738A">
        <w:rPr>
          <w:rStyle w:val="Hyperlink"/>
          <w:rFonts w:cs="Arial"/>
          <w:color w:val="auto"/>
          <w:u w:val="none"/>
        </w:rPr>
        <w:t>.</w:t>
      </w:r>
      <w:r w:rsidRPr="00CB738A">
        <w:rPr>
          <w:rFonts w:cs="Arial"/>
        </w:rPr>
        <w:t xml:space="preserve"> It </w:t>
      </w:r>
      <w:r w:rsidR="001A7D07" w:rsidRPr="00CB738A">
        <w:rPr>
          <w:rFonts w:cs="Arial"/>
        </w:rPr>
        <w:t xml:space="preserve">provides further guidance </w:t>
      </w:r>
      <w:r w:rsidR="004D307D" w:rsidRPr="00CB738A">
        <w:rPr>
          <w:rFonts w:cs="Arial"/>
        </w:rPr>
        <w:t xml:space="preserve">on the types of </w:t>
      </w:r>
      <w:r w:rsidR="004D307D" w:rsidRPr="00CB738A">
        <w:rPr>
          <w:rFonts w:cs="Arial"/>
          <w:b/>
        </w:rPr>
        <w:t>evidence</w:t>
      </w:r>
      <w:r w:rsidR="004D307D" w:rsidRPr="00CB738A">
        <w:rPr>
          <w:rFonts w:cs="Arial"/>
        </w:rPr>
        <w:t xml:space="preserve"> which can be submitted to support a transitional</w:t>
      </w:r>
      <w:r w:rsidR="00BF0CF9" w:rsidRPr="00CB738A">
        <w:rPr>
          <w:rFonts w:cs="Arial"/>
        </w:rPr>
        <w:t xml:space="preserve"> licence</w:t>
      </w:r>
      <w:r w:rsidR="004D307D" w:rsidRPr="00CB738A">
        <w:rPr>
          <w:rFonts w:cs="Arial"/>
        </w:rPr>
        <w:t xml:space="preserve"> application. </w:t>
      </w:r>
    </w:p>
    <w:p w14:paraId="3DC38BE4" w14:textId="37C7AD0B" w:rsidR="00DB15DE" w:rsidRPr="00CB738A" w:rsidRDefault="00DB15DE" w:rsidP="00821C35">
      <w:pPr>
        <w:pStyle w:val="Heading1"/>
        <w:jc w:val="both"/>
        <w:rPr>
          <w:rFonts w:cs="Arial"/>
          <w:sz w:val="24"/>
          <w:szCs w:val="24"/>
        </w:rPr>
      </w:pPr>
    </w:p>
    <w:p w14:paraId="3A02D50E" w14:textId="0B525F40" w:rsidR="00442DFC" w:rsidRPr="00CB738A" w:rsidRDefault="00993CB4" w:rsidP="00821C35">
      <w:pPr>
        <w:pStyle w:val="BodyText"/>
        <w:jc w:val="both"/>
        <w:rPr>
          <w:rFonts w:cs="Arial"/>
        </w:rPr>
      </w:pPr>
      <w:r w:rsidRPr="00CB738A">
        <w:rPr>
          <w:rFonts w:cs="Arial"/>
        </w:rPr>
        <w:t xml:space="preserve">To be eligible to apply for a transitional water resources licence you must be able to </w:t>
      </w:r>
      <w:r w:rsidR="00442DFC" w:rsidRPr="00CB738A">
        <w:rPr>
          <w:rFonts w:cs="Arial"/>
        </w:rPr>
        <w:t xml:space="preserve">demonstrate the following: </w:t>
      </w:r>
    </w:p>
    <w:p w14:paraId="5F36C098" w14:textId="19A7BD2A" w:rsidR="00486E55" w:rsidRPr="00CB738A" w:rsidRDefault="005D1355" w:rsidP="00821C35">
      <w:pPr>
        <w:pStyle w:val="BodyText"/>
        <w:numPr>
          <w:ilvl w:val="0"/>
          <w:numId w:val="17"/>
        </w:numPr>
        <w:jc w:val="both"/>
        <w:rPr>
          <w:rFonts w:cs="Arial"/>
        </w:rPr>
      </w:pPr>
      <w:r w:rsidRPr="00CB738A">
        <w:rPr>
          <w:rFonts w:cs="Arial"/>
          <w:b/>
        </w:rPr>
        <w:t>How</w:t>
      </w:r>
      <w:r w:rsidRPr="00CB738A">
        <w:rPr>
          <w:rFonts w:cs="Arial"/>
        </w:rPr>
        <w:t xml:space="preserve"> </w:t>
      </w:r>
      <w:r w:rsidR="003F16B3" w:rsidRPr="00CB738A">
        <w:rPr>
          <w:rFonts w:cs="Arial"/>
        </w:rPr>
        <w:t xml:space="preserve">much water has been abstracted i.e. how </w:t>
      </w:r>
      <w:r w:rsidRPr="00CB738A">
        <w:rPr>
          <w:rFonts w:cs="Arial"/>
        </w:rPr>
        <w:t>quantities have been measured or assessed</w:t>
      </w:r>
      <w:r w:rsidR="00A72ABC" w:rsidRPr="00CB738A">
        <w:rPr>
          <w:rFonts w:cs="Arial"/>
        </w:rPr>
        <w:t>;</w:t>
      </w:r>
    </w:p>
    <w:p w14:paraId="7EC9BC61" w14:textId="096613B0" w:rsidR="00A72ABC" w:rsidRPr="00CB738A" w:rsidRDefault="005D1355" w:rsidP="00A72ABC">
      <w:pPr>
        <w:pStyle w:val="BodyText"/>
        <w:numPr>
          <w:ilvl w:val="0"/>
          <w:numId w:val="17"/>
        </w:numPr>
        <w:jc w:val="both"/>
        <w:rPr>
          <w:rFonts w:cs="Arial"/>
        </w:rPr>
      </w:pPr>
      <w:r w:rsidRPr="00CB738A">
        <w:rPr>
          <w:rFonts w:cs="Arial"/>
          <w:b/>
        </w:rPr>
        <w:t>When</w:t>
      </w:r>
      <w:r w:rsidRPr="00CB738A">
        <w:rPr>
          <w:rFonts w:cs="Arial"/>
        </w:rPr>
        <w:t xml:space="preserve"> abstraction </w:t>
      </w:r>
      <w:r w:rsidR="00486E55" w:rsidRPr="00CB738A">
        <w:rPr>
          <w:rFonts w:cs="Arial"/>
        </w:rPr>
        <w:t xml:space="preserve">has taken place </w:t>
      </w:r>
      <w:r w:rsidR="003F16B3" w:rsidRPr="00CB738A">
        <w:rPr>
          <w:rFonts w:cs="Arial"/>
        </w:rPr>
        <w:t xml:space="preserve">i.e. </w:t>
      </w:r>
      <w:r w:rsidR="00486E55" w:rsidRPr="00CB738A">
        <w:rPr>
          <w:rFonts w:cs="Arial"/>
        </w:rPr>
        <w:t xml:space="preserve">during the </w:t>
      </w:r>
      <w:r w:rsidR="00A72ABC" w:rsidRPr="00CB738A">
        <w:rPr>
          <w:rFonts w:cs="Arial"/>
        </w:rPr>
        <w:t xml:space="preserve">7 year (01 January 2011 </w:t>
      </w:r>
      <w:r w:rsidR="007373F4" w:rsidRPr="00CB738A">
        <w:rPr>
          <w:rFonts w:cs="Arial"/>
        </w:rPr>
        <w:t>to</w:t>
      </w:r>
      <w:r w:rsidR="00A72ABC" w:rsidRPr="00CB738A">
        <w:rPr>
          <w:rFonts w:cs="Arial"/>
        </w:rPr>
        <w:t xml:space="preserve"> 31 December 2017) </w:t>
      </w:r>
      <w:r w:rsidR="00486E55" w:rsidRPr="00CB738A">
        <w:rPr>
          <w:rFonts w:cs="Arial"/>
        </w:rPr>
        <w:t>qualifying period</w:t>
      </w:r>
      <w:r w:rsidR="00A72ABC" w:rsidRPr="00CB738A">
        <w:rPr>
          <w:rFonts w:cs="Arial"/>
        </w:rPr>
        <w:t>.</w:t>
      </w:r>
    </w:p>
    <w:p w14:paraId="38DD3785" w14:textId="77777777" w:rsidR="00A72ABC" w:rsidRPr="00CB738A" w:rsidRDefault="00A72ABC" w:rsidP="00A72ABC">
      <w:pPr>
        <w:pStyle w:val="BodyText"/>
        <w:ind w:left="720"/>
        <w:jc w:val="both"/>
        <w:rPr>
          <w:rFonts w:cs="Arial"/>
        </w:rPr>
      </w:pPr>
    </w:p>
    <w:p w14:paraId="50D50BB0" w14:textId="7A1F7D53" w:rsidR="007E2F85" w:rsidRPr="00CB738A" w:rsidRDefault="00486E55" w:rsidP="00821C35">
      <w:pPr>
        <w:pStyle w:val="BodyText"/>
        <w:jc w:val="both"/>
        <w:rPr>
          <w:rFonts w:cs="Arial"/>
        </w:rPr>
      </w:pPr>
      <w:r w:rsidRPr="00CB738A">
        <w:rPr>
          <w:rFonts w:cs="Arial"/>
        </w:rPr>
        <w:t xml:space="preserve">Please note the table below </w:t>
      </w:r>
      <w:r w:rsidRPr="00CB738A">
        <w:rPr>
          <w:rFonts w:cs="Arial"/>
          <w:b/>
          <w:i/>
        </w:rPr>
        <w:t>do</w:t>
      </w:r>
      <w:r w:rsidR="008423A1" w:rsidRPr="00CB738A">
        <w:rPr>
          <w:rFonts w:cs="Arial"/>
          <w:b/>
          <w:i/>
        </w:rPr>
        <w:t>es</w:t>
      </w:r>
      <w:r w:rsidRPr="00CB738A">
        <w:rPr>
          <w:rFonts w:cs="Arial"/>
          <w:b/>
          <w:i/>
        </w:rPr>
        <w:t xml:space="preserve"> not</w:t>
      </w:r>
      <w:r w:rsidRPr="00CB738A">
        <w:rPr>
          <w:rFonts w:cs="Arial"/>
        </w:rPr>
        <w:t xml:space="preserve"> provide an exhaustive list of what evidence is acceptable to support your application. Available evidence is likely to vary depending o</w:t>
      </w:r>
      <w:r w:rsidR="007373F4" w:rsidRPr="00CB738A">
        <w:rPr>
          <w:rFonts w:cs="Arial"/>
        </w:rPr>
        <w:t>n</w:t>
      </w:r>
      <w:r w:rsidRPr="00CB738A">
        <w:rPr>
          <w:rFonts w:cs="Arial"/>
        </w:rPr>
        <w:t xml:space="preserve"> the use of water and how long you have been abstracting. </w:t>
      </w:r>
      <w:r w:rsidR="00F1198C">
        <w:rPr>
          <w:rFonts w:cs="Arial"/>
        </w:rPr>
        <w:t>Applicants will not be expected to submit every type of evidence listed, however i</w:t>
      </w:r>
      <w:r w:rsidR="007373F4" w:rsidRPr="00CB738A">
        <w:rPr>
          <w:rFonts w:cs="Arial"/>
        </w:rPr>
        <w:t>n most cases, multiple pieces of evidence may be required to provide sufficient evidence</w:t>
      </w:r>
      <w:r w:rsidR="007E2F85" w:rsidRPr="00CB738A">
        <w:rPr>
          <w:rFonts w:cs="Arial"/>
        </w:rPr>
        <w:t xml:space="preserve"> of actual volumes abstracted during the qualifying period</w:t>
      </w:r>
      <w:r w:rsidR="007373F4" w:rsidRPr="00CB738A">
        <w:rPr>
          <w:rFonts w:cs="Arial"/>
        </w:rPr>
        <w:t xml:space="preserve">.  </w:t>
      </w:r>
    </w:p>
    <w:p w14:paraId="4144D074" w14:textId="77777777" w:rsidR="007E2F85" w:rsidRPr="00CB738A" w:rsidRDefault="007E2F85" w:rsidP="00821C35">
      <w:pPr>
        <w:pStyle w:val="BodyText"/>
        <w:jc w:val="both"/>
        <w:rPr>
          <w:rFonts w:cs="Arial"/>
        </w:rPr>
      </w:pPr>
    </w:p>
    <w:p w14:paraId="5363AAA9" w14:textId="182E3F73" w:rsidR="00F50192" w:rsidRPr="00CB738A" w:rsidRDefault="00486E55" w:rsidP="00821C35">
      <w:pPr>
        <w:pStyle w:val="BodyText"/>
        <w:jc w:val="both"/>
        <w:rPr>
          <w:rFonts w:cs="Arial"/>
        </w:rPr>
      </w:pPr>
      <w:r w:rsidRPr="00CB738A">
        <w:rPr>
          <w:rFonts w:cs="Arial"/>
        </w:rPr>
        <w:t>Providing as much detail as possible will assist us to validate and determine your application effectively. Each application will be assessed on a case by case basis.</w:t>
      </w:r>
      <w:r w:rsidRPr="00CB738A">
        <w:rPr>
          <w:rFonts w:cs="Arial"/>
          <w:b/>
        </w:rPr>
        <w:t xml:space="preserve"> We may need to contact you during the assessment of your application to request further clarification or evidence.</w:t>
      </w:r>
    </w:p>
    <w:p w14:paraId="07B1BA48" w14:textId="77777777" w:rsidR="00646F54" w:rsidRPr="00F526A4" w:rsidRDefault="00646F54" w:rsidP="00ED5845">
      <w:pPr>
        <w:pStyle w:val="BodyText"/>
        <w:rPr>
          <w:rFonts w:asciiTheme="minorHAnsi" w:hAnsiTheme="minorHAnsi"/>
          <w:sz w:val="22"/>
          <w:szCs w:val="22"/>
        </w:rPr>
      </w:pPr>
    </w:p>
    <w:tbl>
      <w:tblPr>
        <w:tblStyle w:val="Table"/>
        <w:tblpPr w:leftFromText="180" w:rightFromText="180" w:vertAnchor="text" w:horzAnchor="margin" w:tblpY="11"/>
        <w:tblW w:w="9209" w:type="dxa"/>
        <w:tblInd w:w="0" w:type="dxa"/>
        <w:tblLook w:val="04A0" w:firstRow="1" w:lastRow="0" w:firstColumn="1" w:lastColumn="0" w:noHBand="0" w:noVBand="1"/>
      </w:tblPr>
      <w:tblGrid>
        <w:gridCol w:w="3069"/>
        <w:gridCol w:w="3070"/>
        <w:gridCol w:w="3070"/>
      </w:tblGrid>
      <w:tr w:rsidR="00821C35" w:rsidRPr="009D4942" w14:paraId="6FBAD369" w14:textId="53DB5FC2" w:rsidTr="009D4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3069" w:type="dxa"/>
          </w:tcPr>
          <w:p w14:paraId="37D51FD5" w14:textId="2231E707" w:rsidR="004F0320" w:rsidRPr="009D4942" w:rsidRDefault="004F0320" w:rsidP="00D90877">
            <w:pPr>
              <w:rPr>
                <w:rFonts w:cs="Arial"/>
              </w:rPr>
            </w:pPr>
            <w:r w:rsidRPr="009D4942">
              <w:rPr>
                <w:rFonts w:cs="Arial"/>
              </w:rPr>
              <w:t>Type of evidence</w:t>
            </w:r>
          </w:p>
        </w:tc>
        <w:tc>
          <w:tcPr>
            <w:tcW w:w="3070" w:type="dxa"/>
          </w:tcPr>
          <w:p w14:paraId="06330E5E" w14:textId="1C630508" w:rsidR="004F0320" w:rsidRPr="009D4942" w:rsidRDefault="004F0320" w:rsidP="00D90877">
            <w:pPr>
              <w:rPr>
                <w:rFonts w:cs="Arial"/>
              </w:rPr>
            </w:pPr>
            <w:r w:rsidRPr="009D4942">
              <w:rPr>
                <w:rFonts w:cs="Arial"/>
              </w:rPr>
              <w:t xml:space="preserve">Demonstrates how much water has been abstracted? </w:t>
            </w:r>
          </w:p>
        </w:tc>
        <w:tc>
          <w:tcPr>
            <w:tcW w:w="3070" w:type="dxa"/>
          </w:tcPr>
          <w:p w14:paraId="034B2740" w14:textId="7953744D" w:rsidR="004F0320" w:rsidRPr="009D4942" w:rsidRDefault="004F0320" w:rsidP="00D90877">
            <w:pPr>
              <w:rPr>
                <w:rFonts w:cs="Arial"/>
              </w:rPr>
            </w:pPr>
            <w:r w:rsidRPr="009D4942">
              <w:rPr>
                <w:rFonts w:cs="Arial"/>
              </w:rPr>
              <w:t>Demonstrates water has been abstracted</w:t>
            </w:r>
            <w:r w:rsidR="007B21B0" w:rsidRPr="009D4942">
              <w:rPr>
                <w:rFonts w:cs="Arial"/>
              </w:rPr>
              <w:t xml:space="preserve"> during qualifying period</w:t>
            </w:r>
            <w:r w:rsidRPr="009D4942">
              <w:rPr>
                <w:rFonts w:cs="Arial"/>
              </w:rPr>
              <w:t>?</w:t>
            </w:r>
          </w:p>
        </w:tc>
      </w:tr>
      <w:tr w:rsidR="00472C1A" w:rsidRPr="009D4942" w14:paraId="256A3A2B" w14:textId="77777777" w:rsidTr="009D4942">
        <w:trPr>
          <w:trHeight w:val="567"/>
        </w:trPr>
        <w:tc>
          <w:tcPr>
            <w:tcW w:w="3069" w:type="dxa"/>
          </w:tcPr>
          <w:p w14:paraId="30674772" w14:textId="7A9519F8" w:rsidR="00472C1A" w:rsidRPr="009D4942" w:rsidRDefault="00472C1A" w:rsidP="00472C1A">
            <w:pPr>
              <w:rPr>
                <w:rFonts w:cs="Arial"/>
              </w:rPr>
            </w:pPr>
            <w:r w:rsidRPr="009D4942">
              <w:rPr>
                <w:rFonts w:cs="Arial"/>
              </w:rPr>
              <w:t>Photographs of intake structure / pipework / channel /</w:t>
            </w:r>
            <w:r w:rsidR="00900002" w:rsidRPr="009D4942">
              <w:rPr>
                <w:rFonts w:cs="Arial"/>
              </w:rPr>
              <w:t xml:space="preserve"> </w:t>
            </w:r>
            <w:r w:rsidRPr="009D4942">
              <w:rPr>
                <w:rFonts w:cs="Arial"/>
              </w:rPr>
              <w:t>meter / flow monitoring equipment / pump in situ.</w:t>
            </w:r>
          </w:p>
        </w:tc>
        <w:tc>
          <w:tcPr>
            <w:tcW w:w="3070" w:type="dxa"/>
          </w:tcPr>
          <w:p w14:paraId="052CA8F3" w14:textId="541372ED" w:rsidR="00472C1A" w:rsidRPr="009D4942" w:rsidRDefault="00472C1A" w:rsidP="00472C1A">
            <w:pPr>
              <w:rPr>
                <w:rFonts w:cs="Arial"/>
              </w:rPr>
            </w:pPr>
            <w:r w:rsidRPr="009D4942">
              <w:rPr>
                <w:rFonts w:cs="Arial"/>
              </w:rPr>
              <w:t>No</w:t>
            </w:r>
            <w:r w:rsidR="00821C35" w:rsidRPr="009D4942">
              <w:rPr>
                <w:rFonts w:cs="Arial"/>
              </w:rPr>
              <w:t>.</w:t>
            </w:r>
          </w:p>
        </w:tc>
        <w:tc>
          <w:tcPr>
            <w:tcW w:w="3070" w:type="dxa"/>
          </w:tcPr>
          <w:p w14:paraId="1D5A1F29" w14:textId="0959E4FF" w:rsidR="00472C1A" w:rsidRPr="009D4942" w:rsidRDefault="00472C1A" w:rsidP="00472C1A">
            <w:pPr>
              <w:rPr>
                <w:rFonts w:cs="Arial"/>
              </w:rPr>
            </w:pPr>
            <w:r w:rsidRPr="009D4942">
              <w:rPr>
                <w:rFonts w:cs="Arial"/>
              </w:rPr>
              <w:t xml:space="preserve">Yes, if evidence </w:t>
            </w:r>
            <w:r w:rsidR="00A72ABC" w:rsidRPr="009D4942">
              <w:rPr>
                <w:rFonts w:cs="Arial"/>
              </w:rPr>
              <w:t xml:space="preserve">is dated or </w:t>
            </w:r>
            <w:r w:rsidRPr="009D4942">
              <w:rPr>
                <w:rFonts w:cs="Arial"/>
              </w:rPr>
              <w:t>demonstrates the equipment was in situ during the qualifying period.</w:t>
            </w:r>
          </w:p>
        </w:tc>
      </w:tr>
      <w:tr w:rsidR="00472C1A" w:rsidRPr="009D4942" w14:paraId="30C7C5CB" w14:textId="77777777" w:rsidTr="009D4942">
        <w:trPr>
          <w:trHeight w:val="567"/>
        </w:trPr>
        <w:tc>
          <w:tcPr>
            <w:tcW w:w="3069" w:type="dxa"/>
          </w:tcPr>
          <w:p w14:paraId="595AEAAC" w14:textId="5A47F5DB" w:rsidR="00472C1A" w:rsidRPr="009D4942" w:rsidRDefault="00472C1A" w:rsidP="00472C1A">
            <w:pPr>
              <w:rPr>
                <w:rFonts w:cs="Arial"/>
              </w:rPr>
            </w:pPr>
            <w:r w:rsidRPr="009D4942">
              <w:rPr>
                <w:rFonts w:cs="Arial"/>
              </w:rPr>
              <w:t xml:space="preserve">Storage / collection reservoir / vessel details </w:t>
            </w:r>
            <w:r w:rsidR="00A72ABC" w:rsidRPr="009D4942">
              <w:rPr>
                <w:rFonts w:cs="Arial"/>
              </w:rPr>
              <w:t>e.g.</w:t>
            </w:r>
            <w:r w:rsidRPr="009D4942">
              <w:rPr>
                <w:rFonts w:cs="Arial"/>
              </w:rPr>
              <w:t xml:space="preserve"> capacity, number of times emptied and filled with abstracted water per hour</w:t>
            </w:r>
            <w:r w:rsidR="00F526A4" w:rsidRPr="009D4942">
              <w:rPr>
                <w:rFonts w:cs="Arial"/>
              </w:rPr>
              <w:t xml:space="preserve"> </w:t>
            </w:r>
            <w:r w:rsidRPr="009D4942">
              <w:rPr>
                <w:rFonts w:cs="Arial"/>
              </w:rPr>
              <w:t>/</w:t>
            </w:r>
            <w:r w:rsidR="00F526A4" w:rsidRPr="009D4942">
              <w:rPr>
                <w:rFonts w:cs="Arial"/>
              </w:rPr>
              <w:t xml:space="preserve"> </w:t>
            </w:r>
            <w:r w:rsidRPr="009D4942">
              <w:rPr>
                <w:rFonts w:cs="Arial"/>
              </w:rPr>
              <w:t>day</w:t>
            </w:r>
            <w:r w:rsidR="00F526A4" w:rsidRPr="009D4942">
              <w:rPr>
                <w:rFonts w:cs="Arial"/>
              </w:rPr>
              <w:t xml:space="preserve"> </w:t>
            </w:r>
            <w:r w:rsidRPr="009D4942">
              <w:rPr>
                <w:rFonts w:cs="Arial"/>
              </w:rPr>
              <w:t>/</w:t>
            </w:r>
            <w:r w:rsidR="00F526A4" w:rsidRPr="009D4942">
              <w:rPr>
                <w:rFonts w:cs="Arial"/>
              </w:rPr>
              <w:t xml:space="preserve"> </w:t>
            </w:r>
            <w:r w:rsidRPr="009D4942">
              <w:rPr>
                <w:rFonts w:cs="Arial"/>
              </w:rPr>
              <w:t>week</w:t>
            </w:r>
            <w:r w:rsidR="00F526A4" w:rsidRPr="009D4942">
              <w:rPr>
                <w:rFonts w:cs="Arial"/>
              </w:rPr>
              <w:t xml:space="preserve"> </w:t>
            </w:r>
            <w:r w:rsidRPr="009D4942">
              <w:rPr>
                <w:rFonts w:cs="Arial"/>
              </w:rPr>
              <w:t>/</w:t>
            </w:r>
            <w:r w:rsidR="00F526A4" w:rsidRPr="009D4942">
              <w:rPr>
                <w:rFonts w:cs="Arial"/>
              </w:rPr>
              <w:t xml:space="preserve"> </w:t>
            </w:r>
            <w:r w:rsidRPr="009D4942">
              <w:rPr>
                <w:rFonts w:cs="Arial"/>
              </w:rPr>
              <w:t>month</w:t>
            </w:r>
            <w:r w:rsidR="00F526A4" w:rsidRPr="009D4942">
              <w:rPr>
                <w:rFonts w:cs="Arial"/>
              </w:rPr>
              <w:t xml:space="preserve"> </w:t>
            </w:r>
            <w:r w:rsidRPr="009D4942">
              <w:rPr>
                <w:rFonts w:cs="Arial"/>
              </w:rPr>
              <w:t>/</w:t>
            </w:r>
            <w:r w:rsidR="00F526A4" w:rsidRPr="009D4942">
              <w:rPr>
                <w:rFonts w:cs="Arial"/>
              </w:rPr>
              <w:t xml:space="preserve"> </w:t>
            </w:r>
            <w:r w:rsidRPr="009D4942">
              <w:rPr>
                <w:rFonts w:cs="Arial"/>
              </w:rPr>
              <w:lastRenderedPageBreak/>
              <w:t>year and whether partially or fully emptied.</w:t>
            </w:r>
          </w:p>
        </w:tc>
        <w:tc>
          <w:tcPr>
            <w:tcW w:w="3070" w:type="dxa"/>
          </w:tcPr>
          <w:p w14:paraId="0FE9BD3A" w14:textId="4AEDB254" w:rsidR="00472C1A" w:rsidRPr="009D4942" w:rsidRDefault="00472C1A" w:rsidP="00472C1A">
            <w:pPr>
              <w:rPr>
                <w:rFonts w:cs="Arial"/>
              </w:rPr>
            </w:pPr>
            <w:r w:rsidRPr="009D4942">
              <w:rPr>
                <w:rFonts w:cs="Arial"/>
              </w:rPr>
              <w:lastRenderedPageBreak/>
              <w:t>Yes</w:t>
            </w:r>
            <w:r w:rsidR="00821C35" w:rsidRPr="009D4942">
              <w:rPr>
                <w:rFonts w:cs="Arial"/>
              </w:rPr>
              <w:t xml:space="preserve">, </w:t>
            </w:r>
            <w:r w:rsidR="00A72ABC" w:rsidRPr="009D4942">
              <w:rPr>
                <w:rFonts w:cs="Arial"/>
              </w:rPr>
              <w:t>if it can be used to provide an estimated water measurement e</w:t>
            </w:r>
            <w:r w:rsidRPr="009D4942">
              <w:rPr>
                <w:rFonts w:cs="Arial"/>
              </w:rPr>
              <w:t>.g. you may fill X number of vessels</w:t>
            </w:r>
            <w:r w:rsidR="00F526A4" w:rsidRPr="009D4942">
              <w:rPr>
                <w:rFonts w:cs="Arial"/>
              </w:rPr>
              <w:t xml:space="preserve"> of known capacity per day or</w:t>
            </w:r>
            <w:r w:rsidRPr="009D4942">
              <w:rPr>
                <w:rFonts w:cs="Arial"/>
              </w:rPr>
              <w:t xml:space="preserve"> </w:t>
            </w:r>
            <w:r w:rsidR="007E2F85" w:rsidRPr="009D4942">
              <w:rPr>
                <w:rFonts w:cs="Arial"/>
              </w:rPr>
              <w:t xml:space="preserve">a known capacity or </w:t>
            </w:r>
            <w:r w:rsidRPr="009D4942">
              <w:rPr>
                <w:rFonts w:cs="Arial"/>
              </w:rPr>
              <w:t>us</w:t>
            </w:r>
            <w:r w:rsidR="007373F4" w:rsidRPr="009D4942">
              <w:rPr>
                <w:rFonts w:cs="Arial"/>
              </w:rPr>
              <w:t>ing</w:t>
            </w:r>
            <w:r w:rsidRPr="009D4942">
              <w:rPr>
                <w:rFonts w:cs="Arial"/>
              </w:rPr>
              <w:t xml:space="preserve"> a hose </w:t>
            </w:r>
            <w:r w:rsidRPr="009D4942">
              <w:rPr>
                <w:rFonts w:cs="Arial"/>
              </w:rPr>
              <w:lastRenderedPageBreak/>
              <w:t>delivering X volume for X hours per day</w:t>
            </w:r>
            <w:r w:rsidR="00821C35" w:rsidRPr="009D4942">
              <w:rPr>
                <w:rFonts w:cs="Arial"/>
              </w:rPr>
              <w:t>.</w:t>
            </w:r>
          </w:p>
        </w:tc>
        <w:tc>
          <w:tcPr>
            <w:tcW w:w="3070" w:type="dxa"/>
          </w:tcPr>
          <w:p w14:paraId="150D0D66" w14:textId="77777777" w:rsidR="00472C1A" w:rsidRPr="009D4942" w:rsidRDefault="00472C1A" w:rsidP="00472C1A">
            <w:pPr>
              <w:rPr>
                <w:rFonts w:cs="Arial"/>
              </w:rPr>
            </w:pPr>
            <w:r w:rsidRPr="009D4942">
              <w:rPr>
                <w:rFonts w:cs="Arial"/>
              </w:rPr>
              <w:lastRenderedPageBreak/>
              <w:t>No.</w:t>
            </w:r>
          </w:p>
        </w:tc>
      </w:tr>
      <w:tr w:rsidR="00720241" w:rsidRPr="009D4942" w14:paraId="51E1AE54" w14:textId="77777777" w:rsidTr="009D4942">
        <w:trPr>
          <w:trHeight w:val="567"/>
        </w:trPr>
        <w:tc>
          <w:tcPr>
            <w:tcW w:w="3069" w:type="dxa"/>
          </w:tcPr>
          <w:p w14:paraId="698892AC" w14:textId="014B78B0" w:rsidR="00720241" w:rsidRPr="009D4942" w:rsidRDefault="00F526A4" w:rsidP="00720241">
            <w:pPr>
              <w:rPr>
                <w:rFonts w:cs="Arial"/>
              </w:rPr>
            </w:pPr>
            <w:r w:rsidRPr="009D4942">
              <w:rPr>
                <w:rFonts w:cs="Arial"/>
              </w:rPr>
              <w:t>M</w:t>
            </w:r>
            <w:r w:rsidR="00720241" w:rsidRPr="009D4942">
              <w:rPr>
                <w:rFonts w:cs="Arial"/>
              </w:rPr>
              <w:t>eter readings / flow monitoring data.</w:t>
            </w:r>
          </w:p>
        </w:tc>
        <w:tc>
          <w:tcPr>
            <w:tcW w:w="3070" w:type="dxa"/>
          </w:tcPr>
          <w:p w14:paraId="376FD290" w14:textId="248EB11B" w:rsidR="00720241" w:rsidRPr="009D4942" w:rsidRDefault="00720241" w:rsidP="00720241">
            <w:pPr>
              <w:rPr>
                <w:rFonts w:cs="Arial"/>
              </w:rPr>
            </w:pPr>
            <w:r w:rsidRPr="009D4942">
              <w:rPr>
                <w:rFonts w:cs="Arial"/>
              </w:rPr>
              <w:t>Yes</w:t>
            </w:r>
            <w:r w:rsidR="00A72ABC" w:rsidRPr="009D4942">
              <w:rPr>
                <w:rFonts w:cs="Arial"/>
              </w:rPr>
              <w:t>, if calibration / certification details are also provided – see below.</w:t>
            </w:r>
          </w:p>
        </w:tc>
        <w:tc>
          <w:tcPr>
            <w:tcW w:w="3070" w:type="dxa"/>
          </w:tcPr>
          <w:p w14:paraId="57ED9E60" w14:textId="34B6E62F" w:rsidR="00720241" w:rsidRPr="009D4942" w:rsidRDefault="00720241" w:rsidP="00720241">
            <w:pPr>
              <w:rPr>
                <w:rFonts w:cs="Arial"/>
              </w:rPr>
            </w:pPr>
            <w:r w:rsidRPr="009D4942">
              <w:rPr>
                <w:rFonts w:cs="Arial"/>
              </w:rPr>
              <w:t>Yes, if evidence is dated</w:t>
            </w:r>
            <w:r w:rsidR="00F526A4" w:rsidRPr="009D4942">
              <w:rPr>
                <w:rFonts w:cs="Arial"/>
              </w:rPr>
              <w:t xml:space="preserve"> to show abstraction occurred during qualifying period</w:t>
            </w:r>
            <w:r w:rsidRPr="009D4942">
              <w:rPr>
                <w:rFonts w:cs="Arial"/>
              </w:rPr>
              <w:t>.</w:t>
            </w:r>
          </w:p>
        </w:tc>
      </w:tr>
      <w:tr w:rsidR="00720241" w:rsidRPr="009D4942" w14:paraId="52F302B3" w14:textId="77777777" w:rsidTr="009D4942">
        <w:trPr>
          <w:trHeight w:val="567"/>
        </w:trPr>
        <w:tc>
          <w:tcPr>
            <w:tcW w:w="3069" w:type="dxa"/>
          </w:tcPr>
          <w:p w14:paraId="1FC42D5F" w14:textId="1284B44B" w:rsidR="00720241" w:rsidRPr="009D4942" w:rsidRDefault="00720241" w:rsidP="00720241">
            <w:pPr>
              <w:rPr>
                <w:rFonts w:cs="Arial"/>
              </w:rPr>
            </w:pPr>
            <w:r w:rsidRPr="009D4942">
              <w:rPr>
                <w:rFonts w:cs="Arial"/>
              </w:rPr>
              <w:t xml:space="preserve">Pump / meter / flow monitoring equipment details </w:t>
            </w:r>
            <w:r w:rsidR="00C216FB" w:rsidRPr="009D4942">
              <w:rPr>
                <w:rFonts w:cs="Arial"/>
              </w:rPr>
              <w:t>(</w:t>
            </w:r>
            <w:r w:rsidRPr="009D4942">
              <w:rPr>
                <w:rFonts w:cs="Arial"/>
              </w:rPr>
              <w:t>e.g. type of pump /</w:t>
            </w:r>
            <w:r w:rsidR="00333EE2">
              <w:rPr>
                <w:rFonts w:cs="Arial"/>
              </w:rPr>
              <w:t xml:space="preserve"> </w:t>
            </w:r>
            <w:r w:rsidRPr="009D4942">
              <w:rPr>
                <w:rFonts w:cs="Arial"/>
              </w:rPr>
              <w:t>meter / flow monitoring device, installation date</w:t>
            </w:r>
            <w:r w:rsidR="00C216FB" w:rsidRPr="009D4942">
              <w:rPr>
                <w:rFonts w:cs="Arial"/>
              </w:rPr>
              <w:t>), together with calibration or certification details</w:t>
            </w:r>
            <w:r w:rsidRPr="009D4942">
              <w:rPr>
                <w:rFonts w:cs="Arial"/>
              </w:rPr>
              <w:t>.</w:t>
            </w:r>
          </w:p>
        </w:tc>
        <w:tc>
          <w:tcPr>
            <w:tcW w:w="3070" w:type="dxa"/>
          </w:tcPr>
          <w:p w14:paraId="440D5ECB" w14:textId="0B389764" w:rsidR="00720241" w:rsidRPr="009D4942" w:rsidRDefault="00720241" w:rsidP="00720241">
            <w:pPr>
              <w:rPr>
                <w:rFonts w:cs="Arial"/>
              </w:rPr>
            </w:pPr>
            <w:r w:rsidRPr="009D4942">
              <w:rPr>
                <w:rFonts w:cs="Arial"/>
              </w:rPr>
              <w:t>No.</w:t>
            </w:r>
          </w:p>
        </w:tc>
        <w:tc>
          <w:tcPr>
            <w:tcW w:w="3070" w:type="dxa"/>
          </w:tcPr>
          <w:p w14:paraId="4FFA5DF3" w14:textId="195D598D" w:rsidR="00720241" w:rsidRPr="009D4942" w:rsidRDefault="00720241" w:rsidP="00720241">
            <w:pPr>
              <w:rPr>
                <w:rFonts w:cs="Arial"/>
              </w:rPr>
            </w:pPr>
            <w:r w:rsidRPr="009D4942">
              <w:rPr>
                <w:rFonts w:cs="Arial"/>
              </w:rPr>
              <w:t>Yes, if evidence is dated</w:t>
            </w:r>
            <w:r w:rsidR="00C216FB" w:rsidRPr="009D4942">
              <w:rPr>
                <w:rFonts w:cs="Arial"/>
              </w:rPr>
              <w:t xml:space="preserve"> or demonstrates the equipment was in situ during the qualifying period</w:t>
            </w:r>
            <w:r w:rsidRPr="009D4942">
              <w:rPr>
                <w:rFonts w:cs="Arial"/>
              </w:rPr>
              <w:t>.</w:t>
            </w:r>
          </w:p>
        </w:tc>
      </w:tr>
      <w:tr w:rsidR="00821C35" w:rsidRPr="009D4942" w14:paraId="56E0F565" w14:textId="77777777" w:rsidTr="009D4942">
        <w:trPr>
          <w:trHeight w:val="567"/>
        </w:trPr>
        <w:tc>
          <w:tcPr>
            <w:tcW w:w="3069" w:type="dxa"/>
          </w:tcPr>
          <w:p w14:paraId="1F289A7A" w14:textId="77777777" w:rsidR="00821C35" w:rsidRPr="009D4942" w:rsidRDefault="00821C35" w:rsidP="00821C35">
            <w:pPr>
              <w:rPr>
                <w:rFonts w:cs="Arial"/>
              </w:rPr>
            </w:pPr>
            <w:r w:rsidRPr="009D4942">
              <w:rPr>
                <w:rFonts w:cs="Arial"/>
              </w:rPr>
              <w:t xml:space="preserve">Receipts showing purchases of abstraction equipment (e.g. meter or pumps) or maintenance contracts for such equipment.  </w:t>
            </w:r>
          </w:p>
        </w:tc>
        <w:tc>
          <w:tcPr>
            <w:tcW w:w="3070" w:type="dxa"/>
          </w:tcPr>
          <w:p w14:paraId="73BB0446" w14:textId="77777777" w:rsidR="00821C35" w:rsidRPr="009D4942" w:rsidRDefault="00821C35" w:rsidP="00821C35">
            <w:pPr>
              <w:rPr>
                <w:rFonts w:cs="Arial"/>
              </w:rPr>
            </w:pPr>
            <w:r w:rsidRPr="009D4942">
              <w:rPr>
                <w:rFonts w:cs="Arial"/>
              </w:rPr>
              <w:t>No.</w:t>
            </w:r>
          </w:p>
        </w:tc>
        <w:tc>
          <w:tcPr>
            <w:tcW w:w="3070" w:type="dxa"/>
          </w:tcPr>
          <w:p w14:paraId="689FD5FB" w14:textId="4117DEAE" w:rsidR="00821C35" w:rsidRPr="009D4942" w:rsidRDefault="00821C35" w:rsidP="00821C35">
            <w:pPr>
              <w:rPr>
                <w:rFonts w:cs="Arial"/>
              </w:rPr>
            </w:pPr>
            <w:r w:rsidRPr="009D4942">
              <w:rPr>
                <w:rFonts w:cs="Arial"/>
              </w:rPr>
              <w:t xml:space="preserve">Yes, </w:t>
            </w:r>
            <w:r w:rsidR="00F526A4" w:rsidRPr="009D4942">
              <w:rPr>
                <w:rFonts w:cs="Arial"/>
              </w:rPr>
              <w:t>if evidence is dated to show abstraction occurred during qualifying period</w:t>
            </w:r>
            <w:r w:rsidRPr="009D4942">
              <w:rPr>
                <w:rFonts w:cs="Arial"/>
              </w:rPr>
              <w:t>.</w:t>
            </w:r>
          </w:p>
        </w:tc>
      </w:tr>
      <w:tr w:rsidR="00472C1A" w:rsidRPr="009D4942" w14:paraId="43EBDB0E" w14:textId="77777777" w:rsidTr="009D4942">
        <w:trPr>
          <w:trHeight w:val="567"/>
        </w:trPr>
        <w:tc>
          <w:tcPr>
            <w:tcW w:w="3069" w:type="dxa"/>
          </w:tcPr>
          <w:p w14:paraId="0D5B7507" w14:textId="6B068DC0" w:rsidR="00472C1A" w:rsidRPr="009D4942" w:rsidRDefault="00472C1A" w:rsidP="00472C1A">
            <w:pPr>
              <w:rPr>
                <w:rFonts w:cs="Arial"/>
              </w:rPr>
            </w:pPr>
            <w:r w:rsidRPr="009D4942">
              <w:rPr>
                <w:rFonts w:cs="Arial"/>
              </w:rPr>
              <w:t>Pump details - capacity together with dates and times (hours) of operation.</w:t>
            </w:r>
          </w:p>
        </w:tc>
        <w:tc>
          <w:tcPr>
            <w:tcW w:w="3070" w:type="dxa"/>
          </w:tcPr>
          <w:p w14:paraId="08A54BD0" w14:textId="332F4EE6" w:rsidR="00472C1A" w:rsidRPr="009D4942" w:rsidRDefault="00472C1A" w:rsidP="00472C1A">
            <w:pPr>
              <w:rPr>
                <w:rFonts w:cs="Arial"/>
              </w:rPr>
            </w:pPr>
            <w:r w:rsidRPr="009D4942">
              <w:rPr>
                <w:rFonts w:cs="Arial"/>
              </w:rPr>
              <w:t>Yes</w:t>
            </w:r>
            <w:r w:rsidR="007373F4" w:rsidRPr="009D4942">
              <w:rPr>
                <w:rFonts w:cs="Arial"/>
              </w:rPr>
              <w:t>,</w:t>
            </w:r>
            <w:r w:rsidRPr="009D4942">
              <w:rPr>
                <w:rFonts w:cs="Arial"/>
              </w:rPr>
              <w:t xml:space="preserve"> </w:t>
            </w:r>
            <w:r w:rsidR="007373F4" w:rsidRPr="009D4942">
              <w:rPr>
                <w:rFonts w:cs="Arial"/>
              </w:rPr>
              <w:t>if calibration / certification details are also provided</w:t>
            </w:r>
            <w:r w:rsidR="00D05D5B">
              <w:rPr>
                <w:rFonts w:cs="Arial"/>
              </w:rPr>
              <w:t>.</w:t>
            </w:r>
          </w:p>
        </w:tc>
        <w:tc>
          <w:tcPr>
            <w:tcW w:w="3070" w:type="dxa"/>
          </w:tcPr>
          <w:p w14:paraId="485A1BDD" w14:textId="6BB8A4F3" w:rsidR="00472C1A" w:rsidRPr="009D4942" w:rsidRDefault="00472C1A" w:rsidP="00472C1A">
            <w:pPr>
              <w:rPr>
                <w:rFonts w:cs="Arial"/>
              </w:rPr>
            </w:pPr>
            <w:r w:rsidRPr="009D4942">
              <w:rPr>
                <w:rFonts w:cs="Arial"/>
              </w:rPr>
              <w:t>Yes, if operation details are dated</w:t>
            </w:r>
            <w:r w:rsidR="00F526A4" w:rsidRPr="009D4942">
              <w:rPr>
                <w:rFonts w:cs="Arial"/>
              </w:rPr>
              <w:t xml:space="preserve"> to show abstraction occurred within qualifying period</w:t>
            </w:r>
            <w:r w:rsidRPr="009D4942">
              <w:rPr>
                <w:rFonts w:cs="Arial"/>
              </w:rPr>
              <w:t>.</w:t>
            </w:r>
          </w:p>
        </w:tc>
      </w:tr>
      <w:tr w:rsidR="00472C1A" w:rsidRPr="009D4942" w14:paraId="1A6CE196" w14:textId="77777777" w:rsidTr="009D4942">
        <w:trPr>
          <w:trHeight w:val="567"/>
        </w:trPr>
        <w:tc>
          <w:tcPr>
            <w:tcW w:w="3069" w:type="dxa"/>
          </w:tcPr>
          <w:p w14:paraId="6B976D66" w14:textId="5E463B0B" w:rsidR="00472C1A" w:rsidRPr="009D4942" w:rsidRDefault="00472C1A" w:rsidP="00472C1A">
            <w:pPr>
              <w:rPr>
                <w:rFonts w:cs="Arial"/>
              </w:rPr>
            </w:pPr>
            <w:r w:rsidRPr="009D4942">
              <w:rPr>
                <w:rFonts w:cs="Arial"/>
              </w:rPr>
              <w:t>Engineering drawings and dimensions of intake structure (e.g. weir / sluice).</w:t>
            </w:r>
          </w:p>
        </w:tc>
        <w:tc>
          <w:tcPr>
            <w:tcW w:w="3070" w:type="dxa"/>
          </w:tcPr>
          <w:p w14:paraId="2B4CCBA1" w14:textId="3F5389E6" w:rsidR="00472C1A" w:rsidRPr="009D4942" w:rsidRDefault="00472C1A" w:rsidP="00472C1A">
            <w:pPr>
              <w:rPr>
                <w:rFonts w:cs="Arial"/>
              </w:rPr>
            </w:pPr>
            <w:r w:rsidRPr="009D4942">
              <w:rPr>
                <w:rFonts w:cs="Arial"/>
              </w:rPr>
              <w:t xml:space="preserve">Yes, if supporting calculations and assumptions </w:t>
            </w:r>
            <w:r w:rsidR="00A72ABC" w:rsidRPr="009D4942">
              <w:rPr>
                <w:rFonts w:cs="Arial"/>
              </w:rPr>
              <w:t xml:space="preserve">used to demonstrate abstraction volumes </w:t>
            </w:r>
            <w:r w:rsidRPr="009D4942">
              <w:rPr>
                <w:rFonts w:cs="Arial"/>
              </w:rPr>
              <w:t>are provided – see below</w:t>
            </w:r>
            <w:r w:rsidR="008F2A16">
              <w:rPr>
                <w:rFonts w:cs="Arial"/>
              </w:rPr>
              <w:t>*</w:t>
            </w:r>
            <w:bookmarkStart w:id="0" w:name="_GoBack"/>
            <w:bookmarkEnd w:id="0"/>
            <w:r w:rsidRPr="009D4942">
              <w:rPr>
                <w:rFonts w:cs="Arial"/>
              </w:rPr>
              <w:t>.</w:t>
            </w:r>
          </w:p>
        </w:tc>
        <w:tc>
          <w:tcPr>
            <w:tcW w:w="3070" w:type="dxa"/>
          </w:tcPr>
          <w:p w14:paraId="3C2CB6C8" w14:textId="77777777" w:rsidR="00472C1A" w:rsidRPr="009D4942" w:rsidRDefault="00472C1A" w:rsidP="00472C1A">
            <w:pPr>
              <w:rPr>
                <w:rFonts w:cs="Arial"/>
              </w:rPr>
            </w:pPr>
            <w:r w:rsidRPr="009D4942">
              <w:rPr>
                <w:rFonts w:cs="Arial"/>
              </w:rPr>
              <w:t>No.</w:t>
            </w:r>
          </w:p>
        </w:tc>
      </w:tr>
      <w:tr w:rsidR="00472C1A" w:rsidRPr="009D4942" w14:paraId="186054F4" w14:textId="77777777" w:rsidTr="009D4942">
        <w:trPr>
          <w:trHeight w:val="567"/>
        </w:trPr>
        <w:tc>
          <w:tcPr>
            <w:tcW w:w="3069" w:type="dxa"/>
          </w:tcPr>
          <w:p w14:paraId="5E17038B" w14:textId="7AB1ABE4" w:rsidR="00472C1A" w:rsidRPr="009D4942" w:rsidRDefault="00472C1A" w:rsidP="00472C1A">
            <w:pPr>
              <w:rPr>
                <w:rFonts w:cs="Arial"/>
              </w:rPr>
            </w:pPr>
            <w:r w:rsidRPr="009D4942">
              <w:rPr>
                <w:rFonts w:cs="Arial"/>
              </w:rPr>
              <w:t>Pipe / penstock orifice details (e.g. diameter, length, material).</w:t>
            </w:r>
          </w:p>
        </w:tc>
        <w:tc>
          <w:tcPr>
            <w:tcW w:w="3070" w:type="dxa"/>
          </w:tcPr>
          <w:p w14:paraId="33EFD359" w14:textId="7AB65122" w:rsidR="00472C1A" w:rsidRPr="009D4942" w:rsidRDefault="00472C1A" w:rsidP="00472C1A">
            <w:pPr>
              <w:rPr>
                <w:rFonts w:cs="Arial"/>
              </w:rPr>
            </w:pPr>
            <w:r w:rsidRPr="009D4942">
              <w:rPr>
                <w:rFonts w:cs="Arial"/>
              </w:rPr>
              <w:t xml:space="preserve">Yes, if supporting calculations and assumptions </w:t>
            </w:r>
            <w:r w:rsidR="00A72ABC" w:rsidRPr="009D4942">
              <w:rPr>
                <w:rFonts w:cs="Arial"/>
              </w:rPr>
              <w:t xml:space="preserve">used to demonstrate abstraction volumes </w:t>
            </w:r>
            <w:r w:rsidRPr="009D4942">
              <w:rPr>
                <w:rFonts w:cs="Arial"/>
              </w:rPr>
              <w:t>are provided – see below</w:t>
            </w:r>
            <w:r w:rsidR="008F2A16">
              <w:rPr>
                <w:rFonts w:cs="Arial"/>
              </w:rPr>
              <w:t>*</w:t>
            </w:r>
            <w:r w:rsidRPr="009D4942">
              <w:rPr>
                <w:rFonts w:cs="Arial"/>
              </w:rPr>
              <w:t>.</w:t>
            </w:r>
          </w:p>
        </w:tc>
        <w:tc>
          <w:tcPr>
            <w:tcW w:w="3070" w:type="dxa"/>
          </w:tcPr>
          <w:p w14:paraId="128BCDBC" w14:textId="77777777" w:rsidR="00472C1A" w:rsidRPr="009D4942" w:rsidRDefault="00472C1A" w:rsidP="00472C1A">
            <w:pPr>
              <w:rPr>
                <w:rFonts w:cs="Arial"/>
              </w:rPr>
            </w:pPr>
            <w:r w:rsidRPr="009D4942">
              <w:rPr>
                <w:rFonts w:cs="Arial"/>
              </w:rPr>
              <w:t>No.</w:t>
            </w:r>
          </w:p>
        </w:tc>
      </w:tr>
      <w:tr w:rsidR="00472C1A" w:rsidRPr="009D4942" w14:paraId="55DF9794" w14:textId="77777777" w:rsidTr="009D4942">
        <w:trPr>
          <w:trHeight w:val="567"/>
        </w:trPr>
        <w:tc>
          <w:tcPr>
            <w:tcW w:w="3069" w:type="dxa"/>
          </w:tcPr>
          <w:p w14:paraId="18BF477A" w14:textId="4753F3A1" w:rsidR="00472C1A" w:rsidRPr="009D4942" w:rsidRDefault="008F2A16" w:rsidP="00472C1A">
            <w:pPr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472C1A" w:rsidRPr="009D4942">
              <w:rPr>
                <w:rFonts w:cs="Arial"/>
              </w:rPr>
              <w:t>Hydraulic calculations and assumptions (e.g. water level at weir, weir co-efficient, whether pipe is full</w:t>
            </w:r>
            <w:r w:rsidR="00D05D5B">
              <w:rPr>
                <w:rFonts w:cs="Arial"/>
              </w:rPr>
              <w:t xml:space="preserve"> </w:t>
            </w:r>
            <w:r w:rsidR="00472C1A" w:rsidRPr="009D4942">
              <w:rPr>
                <w:rFonts w:cs="Arial"/>
              </w:rPr>
              <w:t>/</w:t>
            </w:r>
            <w:r w:rsidR="00D05D5B">
              <w:rPr>
                <w:rFonts w:cs="Arial"/>
              </w:rPr>
              <w:t xml:space="preserve"> </w:t>
            </w:r>
            <w:r w:rsidR="00472C1A" w:rsidRPr="009D4942">
              <w:rPr>
                <w:rFonts w:cs="Arial"/>
              </w:rPr>
              <w:t>partially full or closed off at certain times) used to demonstrate abstraction volumes.</w:t>
            </w:r>
          </w:p>
        </w:tc>
        <w:tc>
          <w:tcPr>
            <w:tcW w:w="3070" w:type="dxa"/>
          </w:tcPr>
          <w:p w14:paraId="7D25D6FA" w14:textId="0DB0705B" w:rsidR="00472C1A" w:rsidRPr="009D4942" w:rsidRDefault="00472C1A" w:rsidP="00472C1A">
            <w:pPr>
              <w:rPr>
                <w:rFonts w:cs="Arial"/>
              </w:rPr>
            </w:pPr>
            <w:r w:rsidRPr="009D4942">
              <w:rPr>
                <w:rFonts w:cs="Arial"/>
              </w:rPr>
              <w:t>Yes, if drawings, dimensions etc. are also provided – see above.</w:t>
            </w:r>
          </w:p>
        </w:tc>
        <w:tc>
          <w:tcPr>
            <w:tcW w:w="3070" w:type="dxa"/>
          </w:tcPr>
          <w:p w14:paraId="2FB535D9" w14:textId="7668A056" w:rsidR="00472C1A" w:rsidRPr="009D4942" w:rsidRDefault="00472C1A" w:rsidP="00472C1A">
            <w:pPr>
              <w:rPr>
                <w:rFonts w:cs="Arial"/>
              </w:rPr>
            </w:pPr>
            <w:r w:rsidRPr="009D4942">
              <w:rPr>
                <w:rFonts w:cs="Arial"/>
              </w:rPr>
              <w:t>No.</w:t>
            </w:r>
          </w:p>
        </w:tc>
      </w:tr>
      <w:tr w:rsidR="00472C1A" w:rsidRPr="009D4942" w14:paraId="436FDAEC" w14:textId="77777777" w:rsidTr="009D4942">
        <w:trPr>
          <w:trHeight w:val="567"/>
        </w:trPr>
        <w:tc>
          <w:tcPr>
            <w:tcW w:w="3069" w:type="dxa"/>
          </w:tcPr>
          <w:p w14:paraId="51FFC29A" w14:textId="77777777" w:rsidR="00472C1A" w:rsidRPr="009D4942" w:rsidRDefault="00472C1A" w:rsidP="00472C1A">
            <w:pPr>
              <w:rPr>
                <w:rFonts w:cs="Arial"/>
              </w:rPr>
            </w:pPr>
            <w:r w:rsidRPr="009D4942">
              <w:rPr>
                <w:rFonts w:cs="Arial"/>
              </w:rPr>
              <w:t>Hydrogeological Impact Assessment (HIA), including excavation dewatering volumes and how they have been calculated.</w:t>
            </w:r>
          </w:p>
        </w:tc>
        <w:tc>
          <w:tcPr>
            <w:tcW w:w="3070" w:type="dxa"/>
          </w:tcPr>
          <w:p w14:paraId="5BD96383" w14:textId="77777777" w:rsidR="00472C1A" w:rsidRPr="009D4942" w:rsidRDefault="00472C1A" w:rsidP="00472C1A">
            <w:pPr>
              <w:rPr>
                <w:rFonts w:cs="Arial"/>
              </w:rPr>
            </w:pPr>
            <w:r w:rsidRPr="009D4942">
              <w:rPr>
                <w:rFonts w:cs="Arial"/>
              </w:rPr>
              <w:t>Yes.</w:t>
            </w:r>
          </w:p>
        </w:tc>
        <w:tc>
          <w:tcPr>
            <w:tcW w:w="3070" w:type="dxa"/>
          </w:tcPr>
          <w:p w14:paraId="3DCB8310" w14:textId="77777777" w:rsidR="00472C1A" w:rsidRPr="009D4942" w:rsidRDefault="00472C1A" w:rsidP="00472C1A">
            <w:pPr>
              <w:rPr>
                <w:rFonts w:cs="Arial"/>
              </w:rPr>
            </w:pPr>
            <w:r w:rsidRPr="009D4942">
              <w:rPr>
                <w:rFonts w:cs="Arial"/>
              </w:rPr>
              <w:t>No.</w:t>
            </w:r>
          </w:p>
        </w:tc>
      </w:tr>
      <w:tr w:rsidR="00472C1A" w:rsidRPr="009D4942" w14:paraId="758CBEA5" w14:textId="77777777" w:rsidTr="009D4942">
        <w:trPr>
          <w:trHeight w:val="567"/>
        </w:trPr>
        <w:tc>
          <w:tcPr>
            <w:tcW w:w="3069" w:type="dxa"/>
          </w:tcPr>
          <w:p w14:paraId="49F1C1E3" w14:textId="77777777" w:rsidR="00472C1A" w:rsidRPr="009D4942" w:rsidRDefault="00472C1A" w:rsidP="00472C1A">
            <w:pPr>
              <w:rPr>
                <w:rFonts w:cs="Arial"/>
              </w:rPr>
            </w:pPr>
            <w:r w:rsidRPr="009D4942">
              <w:rPr>
                <w:rFonts w:cs="Arial"/>
              </w:rPr>
              <w:lastRenderedPageBreak/>
              <w:t xml:space="preserve">Water usage information –  </w:t>
            </w:r>
          </w:p>
          <w:p w14:paraId="7548C0BB" w14:textId="314BE7C8" w:rsidR="00472C1A" w:rsidRPr="009D4942" w:rsidRDefault="00472C1A" w:rsidP="00472C1A">
            <w:pPr>
              <w:rPr>
                <w:rFonts w:cs="Arial"/>
              </w:rPr>
            </w:pPr>
            <w:r w:rsidRPr="009D4942">
              <w:rPr>
                <w:rFonts w:cs="Arial"/>
              </w:rPr>
              <w:t>details regarding how much water is associated with a process</w:t>
            </w:r>
            <w:r w:rsidR="00D05D5B">
              <w:rPr>
                <w:rFonts w:cs="Arial"/>
              </w:rPr>
              <w:t xml:space="preserve"> </w:t>
            </w:r>
            <w:r w:rsidRPr="009D4942">
              <w:rPr>
                <w:rFonts w:cs="Arial"/>
              </w:rPr>
              <w:t>/</w:t>
            </w:r>
            <w:r w:rsidR="00D05D5B">
              <w:rPr>
                <w:rFonts w:cs="Arial"/>
              </w:rPr>
              <w:t xml:space="preserve"> </w:t>
            </w:r>
            <w:r w:rsidRPr="009D4942">
              <w:rPr>
                <w:rFonts w:cs="Arial"/>
              </w:rPr>
              <w:t xml:space="preserve">product e.g. how much water is used per washing cycle in a laundrette business or crop / livestock water requirements. </w:t>
            </w:r>
          </w:p>
          <w:p w14:paraId="3B48D546" w14:textId="0304EE8F" w:rsidR="00472C1A" w:rsidRPr="009D4942" w:rsidRDefault="00472C1A" w:rsidP="00472C1A">
            <w:pPr>
              <w:rPr>
                <w:rFonts w:cs="Arial"/>
              </w:rPr>
            </w:pPr>
            <w:r w:rsidRPr="009D4942">
              <w:rPr>
                <w:rFonts w:cs="Arial"/>
              </w:rPr>
              <w:t xml:space="preserve">Relevant industry water usage guides (e.g. </w:t>
            </w:r>
            <w:hyperlink r:id="rId14" w:history="1">
              <w:r w:rsidR="00D27E71" w:rsidRPr="009D4942">
                <w:rPr>
                  <w:rStyle w:val="Hyperlink"/>
                  <w:rFonts w:cs="Arial"/>
                  <w:lang w:val="en"/>
                </w:rPr>
                <w:t>Optimum use of water for industry and agricultural dependent on direct abstraction</w:t>
              </w:r>
            </w:hyperlink>
            <w:r w:rsidR="00D27E71" w:rsidRPr="009D4942">
              <w:rPr>
                <w:rFonts w:cs="Arial"/>
                <w:lang w:val="en"/>
              </w:rPr>
              <w:t xml:space="preserve"> or </w:t>
            </w:r>
            <w:hyperlink r:id="rId15" w:history="1">
              <w:r w:rsidRPr="009D4942">
                <w:rPr>
                  <w:rStyle w:val="Hyperlink"/>
                  <w:rFonts w:cs="Arial"/>
                </w:rPr>
                <w:t>Agriculture and Horticulture Development Board</w:t>
              </w:r>
            </w:hyperlink>
            <w:r w:rsidRPr="009D4942">
              <w:rPr>
                <w:rFonts w:cs="Arial"/>
              </w:rPr>
              <w:t xml:space="preserve"> water guides) may be a useful reference.</w:t>
            </w:r>
          </w:p>
        </w:tc>
        <w:tc>
          <w:tcPr>
            <w:tcW w:w="3070" w:type="dxa"/>
          </w:tcPr>
          <w:p w14:paraId="7EF63292" w14:textId="77777777" w:rsidR="00407651" w:rsidRPr="009D4942" w:rsidRDefault="00472C1A" w:rsidP="00472C1A">
            <w:pPr>
              <w:rPr>
                <w:rFonts w:cs="Arial"/>
              </w:rPr>
            </w:pPr>
            <w:r w:rsidRPr="009D4942">
              <w:rPr>
                <w:rFonts w:cs="Arial"/>
              </w:rPr>
              <w:t xml:space="preserve">Yes, if it can be used to provide an estimated water measurement for your abstraction e.g. number of head of cattle </w:t>
            </w:r>
            <w:r w:rsidR="00A72ABC" w:rsidRPr="009D4942">
              <w:rPr>
                <w:rFonts w:cs="Arial"/>
              </w:rPr>
              <w:t>X</w:t>
            </w:r>
            <w:r w:rsidRPr="009D4942">
              <w:rPr>
                <w:rFonts w:cs="Arial"/>
              </w:rPr>
              <w:t xml:space="preserve"> water consumption per cattle head</w:t>
            </w:r>
            <w:r w:rsidR="007373F4" w:rsidRPr="009D4942">
              <w:rPr>
                <w:rFonts w:cs="Arial"/>
              </w:rPr>
              <w:t xml:space="preserve"> per day</w:t>
            </w:r>
            <w:r w:rsidRPr="009D4942">
              <w:rPr>
                <w:rFonts w:cs="Arial"/>
              </w:rPr>
              <w:t>.</w:t>
            </w:r>
            <w:r w:rsidR="00407651" w:rsidRPr="009D4942">
              <w:rPr>
                <w:rFonts w:cs="Arial"/>
              </w:rPr>
              <w:t xml:space="preserve"> </w:t>
            </w:r>
          </w:p>
          <w:p w14:paraId="742ABEB6" w14:textId="2D69F9D7" w:rsidR="00472C1A" w:rsidRPr="009D4942" w:rsidRDefault="00407651" w:rsidP="00472C1A">
            <w:pPr>
              <w:rPr>
                <w:rFonts w:cs="Arial"/>
              </w:rPr>
            </w:pPr>
            <w:r w:rsidRPr="009D4942">
              <w:rPr>
                <w:rFonts w:cs="Arial"/>
              </w:rPr>
              <w:t>Note, the relevant usage guide should be provided or referenced within the application to support calculations.</w:t>
            </w:r>
          </w:p>
        </w:tc>
        <w:tc>
          <w:tcPr>
            <w:tcW w:w="3070" w:type="dxa"/>
          </w:tcPr>
          <w:p w14:paraId="26E3359E" w14:textId="031DEC7C" w:rsidR="00472C1A" w:rsidRPr="009D4942" w:rsidRDefault="00472C1A" w:rsidP="00472C1A">
            <w:pPr>
              <w:rPr>
                <w:rFonts w:cs="Arial"/>
              </w:rPr>
            </w:pPr>
            <w:r w:rsidRPr="009D4942">
              <w:rPr>
                <w:rFonts w:cs="Arial"/>
              </w:rPr>
              <w:t>No.</w:t>
            </w:r>
          </w:p>
        </w:tc>
      </w:tr>
      <w:tr w:rsidR="00472C1A" w:rsidRPr="009D4942" w14:paraId="154C3810" w14:textId="77777777" w:rsidTr="009D4942">
        <w:trPr>
          <w:trHeight w:val="567"/>
        </w:trPr>
        <w:tc>
          <w:tcPr>
            <w:tcW w:w="3069" w:type="dxa"/>
          </w:tcPr>
          <w:p w14:paraId="18719257" w14:textId="267A8D70" w:rsidR="00472C1A" w:rsidRPr="009D4942" w:rsidRDefault="00472C1A" w:rsidP="00472C1A">
            <w:pPr>
              <w:rPr>
                <w:rFonts w:cs="Arial"/>
              </w:rPr>
            </w:pPr>
            <w:r w:rsidRPr="009D4942">
              <w:rPr>
                <w:rFonts w:cs="Arial"/>
              </w:rPr>
              <w:t xml:space="preserve">Business contracts / accounts </w:t>
            </w:r>
            <w:r w:rsidR="00407651" w:rsidRPr="009D4942">
              <w:rPr>
                <w:rFonts w:cs="Arial"/>
              </w:rPr>
              <w:t>demonstrating supply</w:t>
            </w:r>
            <w:r w:rsidRPr="009D4942">
              <w:rPr>
                <w:rFonts w:cs="Arial"/>
              </w:rPr>
              <w:t xml:space="preserve"> / purchase of goods associated with an abstraction e.g.  a contract with a supermarket to supply bottled water, or a laundrette business accounts demonstrating payments for washings undertaken, or sales of produce to a food processing business.</w:t>
            </w:r>
          </w:p>
        </w:tc>
        <w:tc>
          <w:tcPr>
            <w:tcW w:w="3070" w:type="dxa"/>
          </w:tcPr>
          <w:p w14:paraId="5807DB29" w14:textId="4497BCEC" w:rsidR="00472C1A" w:rsidRPr="009D4942" w:rsidRDefault="00472C1A" w:rsidP="00472C1A">
            <w:pPr>
              <w:rPr>
                <w:rFonts w:cs="Arial"/>
              </w:rPr>
            </w:pPr>
            <w:r w:rsidRPr="009D4942">
              <w:rPr>
                <w:rFonts w:cs="Arial"/>
              </w:rPr>
              <w:t xml:space="preserve">Yes, if it can be used to provide an estimated water measurement e.g. number </w:t>
            </w:r>
            <w:r w:rsidR="000B6CDD" w:rsidRPr="009D4942">
              <w:rPr>
                <w:rFonts w:cs="Arial"/>
              </w:rPr>
              <w:t xml:space="preserve">of </w:t>
            </w:r>
            <w:r w:rsidRPr="009D4942">
              <w:rPr>
                <w:rFonts w:cs="Arial"/>
              </w:rPr>
              <w:t>water bottles supplied</w:t>
            </w:r>
            <w:r w:rsidR="007373F4" w:rsidRPr="009D4942">
              <w:rPr>
                <w:rFonts w:cs="Arial"/>
              </w:rPr>
              <w:t xml:space="preserve"> per day</w:t>
            </w:r>
            <w:r w:rsidR="00D05D5B">
              <w:rPr>
                <w:rFonts w:cs="Arial"/>
              </w:rPr>
              <w:t xml:space="preserve"> </w:t>
            </w:r>
            <w:r w:rsidR="007373F4" w:rsidRPr="009D4942">
              <w:rPr>
                <w:rFonts w:cs="Arial"/>
              </w:rPr>
              <w:t>/</w:t>
            </w:r>
            <w:r w:rsidR="00D05D5B">
              <w:rPr>
                <w:rFonts w:cs="Arial"/>
              </w:rPr>
              <w:t xml:space="preserve"> </w:t>
            </w:r>
            <w:r w:rsidR="007373F4" w:rsidRPr="009D4942">
              <w:rPr>
                <w:rFonts w:cs="Arial"/>
              </w:rPr>
              <w:t>week</w:t>
            </w:r>
            <w:r w:rsidR="00D05D5B">
              <w:rPr>
                <w:rFonts w:cs="Arial"/>
              </w:rPr>
              <w:t xml:space="preserve"> </w:t>
            </w:r>
            <w:r w:rsidR="007373F4" w:rsidRPr="009D4942">
              <w:rPr>
                <w:rFonts w:cs="Arial"/>
              </w:rPr>
              <w:t>/</w:t>
            </w:r>
            <w:r w:rsidR="00D05D5B">
              <w:rPr>
                <w:rFonts w:cs="Arial"/>
              </w:rPr>
              <w:t xml:space="preserve"> </w:t>
            </w:r>
            <w:r w:rsidR="007373F4" w:rsidRPr="009D4942">
              <w:rPr>
                <w:rFonts w:cs="Arial"/>
              </w:rPr>
              <w:t>month</w:t>
            </w:r>
            <w:r w:rsidRPr="009D4942">
              <w:rPr>
                <w:rFonts w:cs="Arial"/>
              </w:rPr>
              <w:t xml:space="preserve"> X volume of bottle, or how much water is used per washing cycle in launderette </w:t>
            </w:r>
            <w:r w:rsidR="00A72ABC" w:rsidRPr="009D4942">
              <w:rPr>
                <w:rFonts w:cs="Arial"/>
              </w:rPr>
              <w:t>X</w:t>
            </w:r>
            <w:r w:rsidRPr="009D4942">
              <w:rPr>
                <w:rFonts w:cs="Arial"/>
              </w:rPr>
              <w:t xml:space="preserve"> number of </w:t>
            </w:r>
            <w:r w:rsidR="007373F4" w:rsidRPr="009D4942">
              <w:rPr>
                <w:rFonts w:cs="Arial"/>
              </w:rPr>
              <w:t xml:space="preserve">cycle </w:t>
            </w:r>
            <w:r w:rsidRPr="009D4942">
              <w:rPr>
                <w:rFonts w:cs="Arial"/>
              </w:rPr>
              <w:t>payments received.</w:t>
            </w:r>
          </w:p>
        </w:tc>
        <w:tc>
          <w:tcPr>
            <w:tcW w:w="3070" w:type="dxa"/>
          </w:tcPr>
          <w:p w14:paraId="406F9FA4" w14:textId="5ECC43F3" w:rsidR="00472C1A" w:rsidRPr="009D4942" w:rsidRDefault="00472C1A" w:rsidP="00472C1A">
            <w:pPr>
              <w:rPr>
                <w:rFonts w:cs="Arial"/>
              </w:rPr>
            </w:pPr>
            <w:r w:rsidRPr="009D4942">
              <w:rPr>
                <w:rFonts w:cs="Arial"/>
              </w:rPr>
              <w:t>Yes, if evidence is dated</w:t>
            </w:r>
            <w:r w:rsidR="00F526A4" w:rsidRPr="009D4942">
              <w:rPr>
                <w:rFonts w:cs="Arial"/>
              </w:rPr>
              <w:t xml:space="preserve"> to show abstraction occurred during qualifying period</w:t>
            </w:r>
            <w:r w:rsidRPr="009D4942">
              <w:rPr>
                <w:rFonts w:cs="Arial"/>
              </w:rPr>
              <w:t>.</w:t>
            </w:r>
          </w:p>
        </w:tc>
      </w:tr>
      <w:tr w:rsidR="00472C1A" w:rsidRPr="009D4942" w14:paraId="2D6BEBCF" w14:textId="77777777" w:rsidTr="009D4942">
        <w:trPr>
          <w:trHeight w:val="567"/>
        </w:trPr>
        <w:tc>
          <w:tcPr>
            <w:tcW w:w="3069" w:type="dxa"/>
          </w:tcPr>
          <w:p w14:paraId="46AEA04A" w14:textId="0C3795C9" w:rsidR="00472C1A" w:rsidRPr="009D4942" w:rsidRDefault="00472C1A" w:rsidP="00472C1A">
            <w:pPr>
              <w:rPr>
                <w:rFonts w:cs="Arial"/>
              </w:rPr>
            </w:pPr>
            <w:r w:rsidRPr="009D4942">
              <w:rPr>
                <w:rFonts w:cs="Arial"/>
              </w:rPr>
              <w:t>Agricultural records e.g.  British Cattle Movement Service records</w:t>
            </w:r>
            <w:r w:rsidR="00D05D5B">
              <w:rPr>
                <w:rFonts w:cs="Arial"/>
              </w:rPr>
              <w:t>.</w:t>
            </w:r>
          </w:p>
        </w:tc>
        <w:tc>
          <w:tcPr>
            <w:tcW w:w="3070" w:type="dxa"/>
          </w:tcPr>
          <w:p w14:paraId="34481F55" w14:textId="51C242A6" w:rsidR="00472C1A" w:rsidRPr="009D4942" w:rsidRDefault="00472C1A" w:rsidP="00472C1A">
            <w:pPr>
              <w:rPr>
                <w:rFonts w:cs="Arial"/>
              </w:rPr>
            </w:pPr>
            <w:r w:rsidRPr="009D4942">
              <w:rPr>
                <w:rFonts w:cs="Arial"/>
              </w:rPr>
              <w:t>Yes, if it can be used to provide an estimated water measurement e.g.  number of head of cattle x water consumption per cattle head</w:t>
            </w:r>
            <w:r w:rsidR="007373F4" w:rsidRPr="009D4942">
              <w:rPr>
                <w:rFonts w:cs="Arial"/>
              </w:rPr>
              <w:t xml:space="preserve"> per day</w:t>
            </w:r>
            <w:r w:rsidRPr="009D4942">
              <w:rPr>
                <w:rFonts w:cs="Arial"/>
              </w:rPr>
              <w:t>.</w:t>
            </w:r>
          </w:p>
        </w:tc>
        <w:tc>
          <w:tcPr>
            <w:tcW w:w="3070" w:type="dxa"/>
          </w:tcPr>
          <w:p w14:paraId="4DE6E1A9" w14:textId="2C2F055C" w:rsidR="00472C1A" w:rsidRPr="009D4942" w:rsidRDefault="00472C1A" w:rsidP="00472C1A">
            <w:pPr>
              <w:rPr>
                <w:rFonts w:cs="Arial"/>
              </w:rPr>
            </w:pPr>
            <w:r w:rsidRPr="009D4942">
              <w:rPr>
                <w:rFonts w:cs="Arial"/>
              </w:rPr>
              <w:t>Yes, if records can demonstrate that water has been required during qualifying period.</w:t>
            </w:r>
          </w:p>
        </w:tc>
      </w:tr>
      <w:tr w:rsidR="00472C1A" w:rsidRPr="009D4942" w14:paraId="6B3024DB" w14:textId="77777777" w:rsidTr="009D4942">
        <w:trPr>
          <w:trHeight w:val="567"/>
        </w:trPr>
        <w:tc>
          <w:tcPr>
            <w:tcW w:w="3069" w:type="dxa"/>
          </w:tcPr>
          <w:p w14:paraId="491AEE67" w14:textId="10DBC06F" w:rsidR="00472C1A" w:rsidRPr="009D4942" w:rsidRDefault="00472C1A" w:rsidP="00472C1A">
            <w:pPr>
              <w:rPr>
                <w:rFonts w:cs="Arial"/>
              </w:rPr>
            </w:pPr>
            <w:r w:rsidRPr="009D4942">
              <w:rPr>
                <w:rFonts w:cs="Arial"/>
              </w:rPr>
              <w:t xml:space="preserve">Copy of irrigation plan – including use of trickle irrigation.  </w:t>
            </w:r>
          </w:p>
        </w:tc>
        <w:tc>
          <w:tcPr>
            <w:tcW w:w="3070" w:type="dxa"/>
          </w:tcPr>
          <w:p w14:paraId="2938CACC" w14:textId="5917F386" w:rsidR="00472C1A" w:rsidRPr="009D4942" w:rsidRDefault="00472C1A" w:rsidP="00472C1A">
            <w:pPr>
              <w:rPr>
                <w:rFonts w:cs="Arial"/>
              </w:rPr>
            </w:pPr>
            <w:r w:rsidRPr="009D4942">
              <w:rPr>
                <w:rFonts w:cs="Arial"/>
              </w:rPr>
              <w:t xml:space="preserve">Yes, if it can be used to demonstrate crop water requirements. </w:t>
            </w:r>
          </w:p>
        </w:tc>
        <w:tc>
          <w:tcPr>
            <w:tcW w:w="3070" w:type="dxa"/>
          </w:tcPr>
          <w:p w14:paraId="02C8C4BC" w14:textId="123A2806" w:rsidR="00472C1A" w:rsidRPr="009D4942" w:rsidRDefault="00472C1A" w:rsidP="00472C1A">
            <w:pPr>
              <w:rPr>
                <w:rFonts w:cs="Arial"/>
              </w:rPr>
            </w:pPr>
            <w:r w:rsidRPr="009D4942">
              <w:rPr>
                <w:rFonts w:cs="Arial"/>
              </w:rPr>
              <w:t>No.</w:t>
            </w:r>
          </w:p>
        </w:tc>
      </w:tr>
      <w:tr w:rsidR="00472C1A" w:rsidRPr="009D4942" w14:paraId="27C8B402" w14:textId="77777777" w:rsidTr="009D4942">
        <w:trPr>
          <w:trHeight w:val="567"/>
        </w:trPr>
        <w:tc>
          <w:tcPr>
            <w:tcW w:w="3069" w:type="dxa"/>
          </w:tcPr>
          <w:p w14:paraId="7C188CD8" w14:textId="3E234D60" w:rsidR="00472C1A" w:rsidRPr="009D4942" w:rsidRDefault="00472C1A" w:rsidP="00472C1A">
            <w:pPr>
              <w:rPr>
                <w:rFonts w:cs="Arial"/>
              </w:rPr>
            </w:pPr>
            <w:r w:rsidRPr="009D4942">
              <w:rPr>
                <w:rFonts w:cs="Arial"/>
              </w:rPr>
              <w:t>Historical canal acts showing formation</w:t>
            </w:r>
            <w:r w:rsidR="00D05D5B">
              <w:rPr>
                <w:rFonts w:cs="Arial"/>
              </w:rPr>
              <w:t xml:space="preserve"> </w:t>
            </w:r>
            <w:r w:rsidRPr="009D4942">
              <w:rPr>
                <w:rFonts w:cs="Arial"/>
              </w:rPr>
              <w:t>/</w:t>
            </w:r>
            <w:r w:rsidR="00D05D5B">
              <w:rPr>
                <w:rFonts w:cs="Arial"/>
              </w:rPr>
              <w:t xml:space="preserve"> </w:t>
            </w:r>
            <w:r w:rsidRPr="009D4942">
              <w:rPr>
                <w:rFonts w:cs="Arial"/>
              </w:rPr>
              <w:t>permission for abstraction for canal</w:t>
            </w:r>
            <w:r w:rsidR="00D05D5B">
              <w:rPr>
                <w:rFonts w:cs="Arial"/>
              </w:rPr>
              <w:t xml:space="preserve"> </w:t>
            </w:r>
            <w:r w:rsidRPr="009D4942">
              <w:rPr>
                <w:rFonts w:cs="Arial"/>
              </w:rPr>
              <w:t>/</w:t>
            </w:r>
            <w:r w:rsidR="00D05D5B">
              <w:rPr>
                <w:rFonts w:cs="Arial"/>
              </w:rPr>
              <w:t xml:space="preserve"> </w:t>
            </w:r>
            <w:r w:rsidRPr="009D4942">
              <w:rPr>
                <w:rFonts w:cs="Arial"/>
              </w:rPr>
              <w:t xml:space="preserve">navigation. </w:t>
            </w:r>
          </w:p>
        </w:tc>
        <w:tc>
          <w:tcPr>
            <w:tcW w:w="3070" w:type="dxa"/>
          </w:tcPr>
          <w:p w14:paraId="54E030EE" w14:textId="5573C795" w:rsidR="00472C1A" w:rsidRPr="009D4942" w:rsidRDefault="00472C1A" w:rsidP="00472C1A">
            <w:pPr>
              <w:rPr>
                <w:rFonts w:cs="Arial"/>
              </w:rPr>
            </w:pPr>
            <w:r w:rsidRPr="009D4942">
              <w:rPr>
                <w:rFonts w:cs="Arial"/>
              </w:rPr>
              <w:t>No, they may provide useful background information however they are unlikely to specify actual abstraction quantities.</w:t>
            </w:r>
          </w:p>
        </w:tc>
        <w:tc>
          <w:tcPr>
            <w:tcW w:w="3070" w:type="dxa"/>
          </w:tcPr>
          <w:p w14:paraId="37C1FB0B" w14:textId="698CE50A" w:rsidR="00472C1A" w:rsidRPr="009D4942" w:rsidRDefault="00472C1A" w:rsidP="00472C1A">
            <w:pPr>
              <w:rPr>
                <w:rFonts w:cs="Arial"/>
              </w:rPr>
            </w:pPr>
            <w:r w:rsidRPr="009D4942">
              <w:rPr>
                <w:rFonts w:cs="Arial"/>
              </w:rPr>
              <w:t>No, the acts are dated well before the qualifying period but will provide useful background information.</w:t>
            </w:r>
          </w:p>
        </w:tc>
      </w:tr>
      <w:tr w:rsidR="0099694E" w:rsidRPr="009D4942" w14:paraId="51E4D2B7" w14:textId="77777777" w:rsidTr="009D4942">
        <w:trPr>
          <w:trHeight w:val="567"/>
        </w:trPr>
        <w:tc>
          <w:tcPr>
            <w:tcW w:w="3069" w:type="dxa"/>
          </w:tcPr>
          <w:p w14:paraId="1DD9C91A" w14:textId="6B5C3A5B" w:rsidR="0099694E" w:rsidRPr="009D4942" w:rsidRDefault="0099694E" w:rsidP="0099694E">
            <w:pPr>
              <w:rPr>
                <w:rFonts w:cs="Arial"/>
              </w:rPr>
            </w:pPr>
            <w:r w:rsidRPr="009D4942">
              <w:rPr>
                <w:rFonts w:cs="Arial"/>
              </w:rPr>
              <w:t xml:space="preserve">Letter from statutory Water Undertaker stating that mains water supply </w:t>
            </w:r>
            <w:r w:rsidRPr="009D4942">
              <w:rPr>
                <w:rFonts w:cs="Arial"/>
              </w:rPr>
              <w:lastRenderedPageBreak/>
              <w:t>cannot be provided to applicant</w:t>
            </w:r>
            <w:r w:rsidR="00D05D5B">
              <w:rPr>
                <w:rFonts w:cs="Arial"/>
              </w:rPr>
              <w:t>.</w:t>
            </w:r>
          </w:p>
        </w:tc>
        <w:tc>
          <w:tcPr>
            <w:tcW w:w="3070" w:type="dxa"/>
          </w:tcPr>
          <w:p w14:paraId="4704B9A5" w14:textId="7A61FC0C" w:rsidR="0099694E" w:rsidRPr="009D4942" w:rsidRDefault="0099694E" w:rsidP="0099694E">
            <w:pPr>
              <w:rPr>
                <w:rFonts w:cs="Arial"/>
              </w:rPr>
            </w:pPr>
            <w:r w:rsidRPr="009D4942">
              <w:rPr>
                <w:rFonts w:cs="Arial"/>
              </w:rPr>
              <w:lastRenderedPageBreak/>
              <w:t>No.</w:t>
            </w:r>
          </w:p>
        </w:tc>
        <w:tc>
          <w:tcPr>
            <w:tcW w:w="3070" w:type="dxa"/>
          </w:tcPr>
          <w:p w14:paraId="1B52C88F" w14:textId="270E446C" w:rsidR="0099694E" w:rsidRPr="009D4942" w:rsidRDefault="0099694E" w:rsidP="0099694E">
            <w:pPr>
              <w:rPr>
                <w:rFonts w:cs="Arial"/>
              </w:rPr>
            </w:pPr>
            <w:r w:rsidRPr="009D4942">
              <w:rPr>
                <w:rFonts w:cs="Arial"/>
              </w:rPr>
              <w:t xml:space="preserve">No, supporting evidence only. Additional evidence to show that the </w:t>
            </w:r>
            <w:r w:rsidRPr="009D4942">
              <w:rPr>
                <w:rFonts w:cs="Arial"/>
              </w:rPr>
              <w:lastRenderedPageBreak/>
              <w:t>abstraction has occurred within the qualifying period will also be required.</w:t>
            </w:r>
          </w:p>
        </w:tc>
      </w:tr>
      <w:tr w:rsidR="007E2F85" w:rsidRPr="009D4942" w14:paraId="05996CE4" w14:textId="77777777" w:rsidTr="009D4942">
        <w:trPr>
          <w:trHeight w:val="567"/>
        </w:trPr>
        <w:tc>
          <w:tcPr>
            <w:tcW w:w="3069" w:type="dxa"/>
          </w:tcPr>
          <w:p w14:paraId="4CC61FDC" w14:textId="5D3A65E5" w:rsidR="007E2F85" w:rsidRPr="009D4942" w:rsidRDefault="007E2F85" w:rsidP="007E2F85">
            <w:pPr>
              <w:rPr>
                <w:rFonts w:cs="Arial"/>
              </w:rPr>
            </w:pPr>
            <w:r w:rsidRPr="009D4942">
              <w:rPr>
                <w:rFonts w:cs="Arial"/>
              </w:rPr>
              <w:lastRenderedPageBreak/>
              <w:t>Water bill (based on meter readings) from statutory Water Undertaker showing lower water usage than would be expected for whole water use at premises (as supplemented by private water abstraction).</w:t>
            </w:r>
          </w:p>
        </w:tc>
        <w:tc>
          <w:tcPr>
            <w:tcW w:w="3070" w:type="dxa"/>
          </w:tcPr>
          <w:p w14:paraId="67C11A4E" w14:textId="4C37B722" w:rsidR="007E2F85" w:rsidRPr="009D4942" w:rsidRDefault="007E2F85" w:rsidP="007E2F85">
            <w:pPr>
              <w:rPr>
                <w:rFonts w:cs="Arial"/>
              </w:rPr>
            </w:pPr>
            <w:r w:rsidRPr="009D4942">
              <w:rPr>
                <w:rFonts w:cs="Arial"/>
              </w:rPr>
              <w:t>No</w:t>
            </w:r>
            <w:r w:rsidR="00D05D5B">
              <w:rPr>
                <w:rFonts w:cs="Arial"/>
              </w:rPr>
              <w:t>.</w:t>
            </w:r>
          </w:p>
        </w:tc>
        <w:tc>
          <w:tcPr>
            <w:tcW w:w="3070" w:type="dxa"/>
          </w:tcPr>
          <w:p w14:paraId="761B04F0" w14:textId="2746018D" w:rsidR="007E2F85" w:rsidRPr="009D4942" w:rsidRDefault="007E2F85" w:rsidP="007E2F85">
            <w:pPr>
              <w:rPr>
                <w:rFonts w:cs="Arial"/>
              </w:rPr>
            </w:pPr>
            <w:r w:rsidRPr="009D4942">
              <w:rPr>
                <w:rFonts w:cs="Arial"/>
              </w:rPr>
              <w:t xml:space="preserve">No, supporting evidence only. Additional evidence to show that </w:t>
            </w:r>
            <w:r w:rsidR="00ED34D2" w:rsidRPr="009D4942">
              <w:rPr>
                <w:rFonts w:cs="Arial"/>
              </w:rPr>
              <w:t xml:space="preserve">additional </w:t>
            </w:r>
            <w:r w:rsidRPr="009D4942">
              <w:rPr>
                <w:rFonts w:cs="Arial"/>
              </w:rPr>
              <w:t>abstraction has occurred within the qualifying period will also be required.</w:t>
            </w:r>
          </w:p>
        </w:tc>
      </w:tr>
      <w:tr w:rsidR="007E2F85" w:rsidRPr="009D4942" w14:paraId="2A5685EF" w14:textId="77777777" w:rsidTr="009D4942">
        <w:trPr>
          <w:trHeight w:val="567"/>
        </w:trPr>
        <w:tc>
          <w:tcPr>
            <w:tcW w:w="3069" w:type="dxa"/>
          </w:tcPr>
          <w:p w14:paraId="645038C0" w14:textId="1F437C75" w:rsidR="007E2F85" w:rsidRPr="009D4942" w:rsidRDefault="007E2F85" w:rsidP="007E2F85">
            <w:pPr>
              <w:rPr>
                <w:rFonts w:cs="Arial"/>
              </w:rPr>
            </w:pPr>
            <w:r w:rsidRPr="009D4942">
              <w:rPr>
                <w:rFonts w:cs="Arial"/>
              </w:rPr>
              <w:t>Dated witness statement(s) confirming that the abstraction has been occurring.</w:t>
            </w:r>
          </w:p>
        </w:tc>
        <w:tc>
          <w:tcPr>
            <w:tcW w:w="3070" w:type="dxa"/>
          </w:tcPr>
          <w:p w14:paraId="749DFB68" w14:textId="6CFF5321" w:rsidR="007E2F85" w:rsidRPr="009D4942" w:rsidRDefault="007E2F85" w:rsidP="007E2F85">
            <w:pPr>
              <w:rPr>
                <w:rFonts w:cs="Arial"/>
              </w:rPr>
            </w:pPr>
            <w:r w:rsidRPr="009D4942">
              <w:rPr>
                <w:rFonts w:cs="Arial"/>
              </w:rPr>
              <w:t xml:space="preserve">No.  </w:t>
            </w:r>
          </w:p>
        </w:tc>
        <w:tc>
          <w:tcPr>
            <w:tcW w:w="3070" w:type="dxa"/>
          </w:tcPr>
          <w:p w14:paraId="6BC2C6EE" w14:textId="43AEFC12" w:rsidR="007E2F85" w:rsidRPr="009D4942" w:rsidRDefault="007E2F85" w:rsidP="007E2F85">
            <w:pPr>
              <w:rPr>
                <w:rFonts w:cs="Arial"/>
              </w:rPr>
            </w:pPr>
            <w:r w:rsidRPr="009D4942">
              <w:rPr>
                <w:rFonts w:cs="Arial"/>
              </w:rPr>
              <w:t>No, supporting evidence only. Additional evidence to show that the abstraction has occurred within the qualifying period will also be required.</w:t>
            </w:r>
          </w:p>
        </w:tc>
      </w:tr>
      <w:tr w:rsidR="007E2F85" w:rsidRPr="009D4942" w14:paraId="299AF276" w14:textId="77777777" w:rsidTr="009D4942">
        <w:trPr>
          <w:trHeight w:val="567"/>
        </w:trPr>
        <w:tc>
          <w:tcPr>
            <w:tcW w:w="3069" w:type="dxa"/>
          </w:tcPr>
          <w:p w14:paraId="212A4517" w14:textId="358CF2FB" w:rsidR="007E2F85" w:rsidRPr="009D4942" w:rsidRDefault="007E2F85" w:rsidP="007E2F85">
            <w:pPr>
              <w:rPr>
                <w:rFonts w:cs="Arial"/>
              </w:rPr>
            </w:pPr>
            <w:r w:rsidRPr="009D4942">
              <w:rPr>
                <w:rFonts w:cs="Arial"/>
              </w:rPr>
              <w:t>Discharge consent</w:t>
            </w:r>
            <w:r w:rsidR="00D05D5B">
              <w:rPr>
                <w:rFonts w:cs="Arial"/>
              </w:rPr>
              <w:t xml:space="preserve"> </w:t>
            </w:r>
            <w:r w:rsidRPr="009D4942">
              <w:rPr>
                <w:rFonts w:cs="Arial"/>
              </w:rPr>
              <w:t>/</w:t>
            </w:r>
            <w:r w:rsidR="00D05D5B">
              <w:rPr>
                <w:rFonts w:cs="Arial"/>
              </w:rPr>
              <w:t xml:space="preserve"> </w:t>
            </w:r>
            <w:r w:rsidRPr="009D4942">
              <w:rPr>
                <w:rFonts w:cs="Arial"/>
              </w:rPr>
              <w:t xml:space="preserve">environmental permit and associated annual charges.  </w:t>
            </w:r>
          </w:p>
        </w:tc>
        <w:tc>
          <w:tcPr>
            <w:tcW w:w="3070" w:type="dxa"/>
          </w:tcPr>
          <w:p w14:paraId="6DA94D4F" w14:textId="6EC7B955" w:rsidR="007E2F85" w:rsidRPr="009D4942" w:rsidRDefault="007E2F85" w:rsidP="007E2F85">
            <w:pPr>
              <w:rPr>
                <w:rFonts w:cs="Arial"/>
              </w:rPr>
            </w:pPr>
            <w:r w:rsidRPr="009D4942">
              <w:rPr>
                <w:rFonts w:cs="Arial"/>
              </w:rPr>
              <w:t>No, although may provide useful supporting evidence if the abstraction is linked to a discharge and the discharge quantities are detailed on the permit.</w:t>
            </w:r>
          </w:p>
        </w:tc>
        <w:tc>
          <w:tcPr>
            <w:tcW w:w="3070" w:type="dxa"/>
          </w:tcPr>
          <w:p w14:paraId="1307B442" w14:textId="4A822E89" w:rsidR="007E2F85" w:rsidRPr="009D4942" w:rsidRDefault="007E2F85" w:rsidP="007E2F85">
            <w:pPr>
              <w:rPr>
                <w:rFonts w:cs="Arial"/>
              </w:rPr>
            </w:pPr>
            <w:r w:rsidRPr="009D4942">
              <w:rPr>
                <w:rFonts w:cs="Arial"/>
              </w:rPr>
              <w:t>No, although may provide useful supporting evidence if the abstraction is linked to a permit that is in force during qualifying period.</w:t>
            </w:r>
          </w:p>
        </w:tc>
      </w:tr>
    </w:tbl>
    <w:p w14:paraId="71DACD76" w14:textId="77777777" w:rsidR="00472C1A" w:rsidRPr="00407651" w:rsidRDefault="00472C1A" w:rsidP="002935B4">
      <w:pPr>
        <w:rPr>
          <w:rFonts w:asciiTheme="minorHAnsi" w:hAnsiTheme="minorHAnsi" w:cs="Arial"/>
          <w:sz w:val="22"/>
          <w:szCs w:val="22"/>
        </w:rPr>
      </w:pPr>
    </w:p>
    <w:p w14:paraId="37365548" w14:textId="5BDAB696" w:rsidR="00ED5845" w:rsidRPr="00CB738A" w:rsidRDefault="00995387" w:rsidP="00821C35">
      <w:pPr>
        <w:jc w:val="both"/>
        <w:rPr>
          <w:rFonts w:cs="Arial"/>
          <w:color w:val="000000"/>
        </w:rPr>
      </w:pPr>
      <w:r w:rsidRPr="00CB738A">
        <w:rPr>
          <w:rFonts w:cs="Arial"/>
        </w:rPr>
        <w:t>If you</w:t>
      </w:r>
      <w:r w:rsidR="004F0320" w:rsidRPr="00CB738A">
        <w:rPr>
          <w:rFonts w:cs="Arial"/>
        </w:rPr>
        <w:t xml:space="preserve"> are unsure about the evidence requirements to support your application or </w:t>
      </w:r>
      <w:r w:rsidRPr="00CB738A">
        <w:rPr>
          <w:rFonts w:cs="Arial"/>
        </w:rPr>
        <w:t xml:space="preserve">require any further advice regarding your </w:t>
      </w:r>
      <w:r w:rsidR="0037784B" w:rsidRPr="00CB738A">
        <w:rPr>
          <w:rFonts w:cs="Arial"/>
        </w:rPr>
        <w:t xml:space="preserve">transitional water resources licence </w:t>
      </w:r>
      <w:r w:rsidRPr="00CB738A">
        <w:rPr>
          <w:rFonts w:cs="Arial"/>
        </w:rPr>
        <w:t xml:space="preserve">application, please contact us at </w:t>
      </w:r>
      <w:hyperlink r:id="rId16" w:history="1">
        <w:r w:rsidRPr="00CB738A">
          <w:rPr>
            <w:rStyle w:val="Hyperlink"/>
            <w:rFonts w:cs="Arial"/>
          </w:rPr>
          <w:t>enquiries@naturalresourceswales.gov.uk</w:t>
        </w:r>
      </w:hyperlink>
      <w:r w:rsidR="00D05D5B">
        <w:rPr>
          <w:rStyle w:val="Hyperlink"/>
          <w:rFonts w:cs="Arial"/>
          <w:color w:val="auto"/>
          <w:u w:val="none"/>
        </w:rPr>
        <w:t xml:space="preserve"> and mark for the attention of the water resources permitting team.</w:t>
      </w:r>
    </w:p>
    <w:sectPr w:rsidR="00ED5845" w:rsidRPr="00CB738A" w:rsidSect="001B545A">
      <w:headerReference w:type="default" r:id="rId17"/>
      <w:footerReference w:type="default" r:id="rId18"/>
      <w:headerReference w:type="first" r:id="rId19"/>
      <w:footerReference w:type="first" r:id="rId20"/>
      <w:pgSz w:w="11920" w:h="16840"/>
      <w:pgMar w:top="1440" w:right="1440" w:bottom="1440" w:left="1440" w:header="567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5579A" w14:textId="77777777" w:rsidR="00857A92" w:rsidRDefault="00857A92" w:rsidP="003B1B95">
      <w:r>
        <w:separator/>
      </w:r>
    </w:p>
  </w:endnote>
  <w:endnote w:type="continuationSeparator" w:id="0">
    <w:p w14:paraId="7C8D366F" w14:textId="77777777" w:rsidR="00857A92" w:rsidRDefault="00857A92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1C3C9" w14:textId="514E3283" w:rsidR="002B49FA" w:rsidRPr="00407651" w:rsidRDefault="002B49FA" w:rsidP="000A4FBB">
    <w:pPr>
      <w:jc w:val="right"/>
      <w:rPr>
        <w:rFonts w:asciiTheme="minorHAnsi" w:hAnsiTheme="minorHAnsi"/>
        <w:sz w:val="20"/>
        <w:szCs w:val="20"/>
      </w:rPr>
    </w:pPr>
    <w:r w:rsidRPr="00407651">
      <w:rPr>
        <w:rFonts w:asciiTheme="minorHAnsi" w:hAnsiTheme="minorHAnsi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B11C3DB" wp14:editId="2C54EE7E">
              <wp:simplePos x="0" y="0"/>
              <wp:positionH relativeFrom="page">
                <wp:posOffset>3712210</wp:posOffset>
              </wp:positionH>
              <wp:positionV relativeFrom="page">
                <wp:posOffset>10246995</wp:posOffset>
              </wp:positionV>
              <wp:extent cx="3260725" cy="217805"/>
              <wp:effectExtent l="0" t="0" r="0" b="3175"/>
              <wp:wrapNone/>
              <wp:docPr id="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1C3E3" w14:textId="0718EDF9" w:rsidR="002B49FA" w:rsidRPr="006674B8" w:rsidRDefault="002B49FA" w:rsidP="006674B8">
                          <w:pPr>
                            <w:jc w:val="right"/>
                          </w:pPr>
                          <w:r>
                            <w:t>Page</w:t>
                          </w:r>
                          <w:r w:rsidRPr="007B70A0">
                            <w:rPr>
                              <w:color w:val="0091A5"/>
                            </w:rPr>
                            <w:t xml:space="preserve"> </w:t>
                          </w:r>
                          <w:r w:rsidRPr="007B70A0">
                            <w:rPr>
                              <w:color w:val="0091A5"/>
                            </w:rPr>
                            <w:fldChar w:fldCharType="begin"/>
                          </w:r>
                          <w:r w:rsidRPr="007B70A0">
                            <w:rPr>
                              <w:color w:val="0091A5"/>
                            </w:rPr>
                            <w:instrText xml:space="preserve"> PAGE </w:instrText>
                          </w:r>
                          <w:r w:rsidRPr="007B70A0">
                            <w:rPr>
                              <w:color w:val="0091A5"/>
                            </w:rPr>
                            <w:fldChar w:fldCharType="separate"/>
                          </w:r>
                          <w:r w:rsidR="00AB7CEE">
                            <w:rPr>
                              <w:noProof/>
                              <w:color w:val="0091A5"/>
                            </w:rPr>
                            <w:t>3</w:t>
                          </w:r>
                          <w:r w:rsidRPr="007B70A0">
                            <w:rPr>
                              <w:color w:val="0091A5"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 w:rsidRPr="007B70A0">
                            <w:rPr>
                              <w:color w:val="0091A5"/>
                            </w:rPr>
                            <w:fldChar w:fldCharType="begin"/>
                          </w:r>
                          <w:r w:rsidRPr="007B70A0">
                            <w:rPr>
                              <w:color w:val="0091A5"/>
                            </w:rPr>
                            <w:instrText xml:space="preserve"> NUMPAGES  </w:instrText>
                          </w:r>
                          <w:r w:rsidRPr="007B70A0">
                            <w:rPr>
                              <w:color w:val="0091A5"/>
                            </w:rPr>
                            <w:fldChar w:fldCharType="separate"/>
                          </w:r>
                          <w:r w:rsidR="00AB7CEE">
                            <w:rPr>
                              <w:noProof/>
                              <w:color w:val="0091A5"/>
                            </w:rPr>
                            <w:t>3</w:t>
                          </w:r>
                          <w:r w:rsidRPr="007B70A0">
                            <w:rPr>
                              <w:color w:val="0091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1C3D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292.3pt;margin-top:806.85pt;width:256.75pt;height:17.1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" stroked="f" strokecolor="#005541" strokeweight="1pt">
              <v:textbox inset="0,0">
                <w:txbxContent>
                  <w:p w14:paraId="1B11C3E3" w14:textId="0718EDF9" w:rsidR="002B49FA" w:rsidRPr="006674B8" w:rsidRDefault="002B49FA" w:rsidP="006674B8">
                    <w:pPr>
                      <w:jc w:val="right"/>
                    </w:pPr>
                    <w:r>
                      <w:t>Page</w:t>
                    </w:r>
                    <w:r w:rsidRPr="007B70A0">
                      <w:rPr>
                        <w:color w:val="0091A5"/>
                      </w:rPr>
                      <w:t xml:space="preserve"> </w:t>
                    </w:r>
                    <w:r w:rsidRPr="007B70A0">
                      <w:rPr>
                        <w:color w:val="0091A5"/>
                      </w:rPr>
                      <w:fldChar w:fldCharType="begin"/>
                    </w:r>
                    <w:r w:rsidRPr="007B70A0">
                      <w:rPr>
                        <w:color w:val="0091A5"/>
                      </w:rPr>
                      <w:instrText xml:space="preserve"> PAGE </w:instrText>
                    </w:r>
                    <w:r w:rsidRPr="007B70A0">
                      <w:rPr>
                        <w:color w:val="0091A5"/>
                      </w:rPr>
                      <w:fldChar w:fldCharType="separate"/>
                    </w:r>
                    <w:r w:rsidR="00AB7CEE">
                      <w:rPr>
                        <w:noProof/>
                        <w:color w:val="0091A5"/>
                      </w:rPr>
                      <w:t>3</w:t>
                    </w:r>
                    <w:r w:rsidRPr="007B70A0">
                      <w:rPr>
                        <w:color w:val="0091A5"/>
                      </w:rPr>
                      <w:fldChar w:fldCharType="end"/>
                    </w:r>
                    <w:r>
                      <w:t xml:space="preserve"> of </w:t>
                    </w:r>
                    <w:r w:rsidRPr="007B70A0">
                      <w:rPr>
                        <w:color w:val="0091A5"/>
                      </w:rPr>
                      <w:fldChar w:fldCharType="begin"/>
                    </w:r>
                    <w:r w:rsidRPr="007B70A0">
                      <w:rPr>
                        <w:color w:val="0091A5"/>
                      </w:rPr>
                      <w:instrText xml:space="preserve"> NUMPAGES  </w:instrText>
                    </w:r>
                    <w:r w:rsidRPr="007B70A0">
                      <w:rPr>
                        <w:color w:val="0091A5"/>
                      </w:rPr>
                      <w:fldChar w:fldCharType="separate"/>
                    </w:r>
                    <w:r w:rsidR="00AB7CEE">
                      <w:rPr>
                        <w:noProof/>
                        <w:color w:val="0091A5"/>
                      </w:rPr>
                      <w:t>3</w:t>
                    </w:r>
                    <w:r w:rsidRPr="007B70A0">
                      <w:rPr>
                        <w:color w:val="0091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07651">
      <w:rPr>
        <w:rFonts w:asciiTheme="minorHAnsi" w:hAnsiTheme="minorHAnsi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11C3DC" wp14:editId="4CA4E153">
              <wp:simplePos x="0" y="0"/>
              <wp:positionH relativeFrom="page">
                <wp:posOffset>720090</wp:posOffset>
              </wp:positionH>
              <wp:positionV relativeFrom="page">
                <wp:posOffset>10023475</wp:posOffset>
              </wp:positionV>
              <wp:extent cx="5181600" cy="260985"/>
              <wp:effectExtent l="0" t="3175" r="3810" b="254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1C3E4" w14:textId="184ABBCF" w:rsidR="002B49FA" w:rsidRPr="00407651" w:rsidRDefault="002B49FA" w:rsidP="007B70A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07651">
                            <w:rPr>
                              <w:sz w:val="20"/>
                              <w:szCs w:val="20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11C3DC" id="Text Box 11" o:spid="_x0000_s1027" type="#_x0000_t202" style="position:absolute;left:0;text-align:left;margin-left:56.7pt;margin-top:789.25pt;width:408pt;height:20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" stroked="f" strokecolor="#005541" strokeweight="1pt">
              <v:textbox inset="0">
                <w:txbxContent>
                  <w:p w14:paraId="1B11C3E4" w14:textId="184ABBCF" w:rsidR="002B49FA" w:rsidRPr="00407651" w:rsidRDefault="002B49FA" w:rsidP="007B70A0">
                    <w:pPr>
                      <w:rPr>
                        <w:sz w:val="20"/>
                        <w:szCs w:val="20"/>
                      </w:rPr>
                    </w:pPr>
                    <w:r w:rsidRPr="00407651">
                      <w:rPr>
                        <w:sz w:val="20"/>
                        <w:szCs w:val="20"/>
                      </w:rPr>
                      <w:t>Version 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07651">
      <w:rPr>
        <w:rFonts w:asciiTheme="minorHAnsi" w:hAnsiTheme="minorHAnsi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11C3DD" wp14:editId="475FA074">
              <wp:simplePos x="0" y="0"/>
              <wp:positionH relativeFrom="page">
                <wp:posOffset>720090</wp:posOffset>
              </wp:positionH>
              <wp:positionV relativeFrom="page">
                <wp:posOffset>10246995</wp:posOffset>
              </wp:positionV>
              <wp:extent cx="3260725" cy="217805"/>
              <wp:effectExtent l="0" t="0" r="635" b="3175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1C3E5" w14:textId="77777777" w:rsidR="002B49FA" w:rsidRPr="000C3C4D" w:rsidRDefault="002B49FA" w:rsidP="007B70A0">
                          <w:pPr>
                            <w:rPr>
                              <w:color w:val="0091A5"/>
                            </w:rPr>
                          </w:pPr>
                          <w:r w:rsidRPr="000C3C4D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11C3DD" id="Text Box 12" o:spid="_x0000_s1028" type="#_x0000_t202" style="position:absolute;left:0;text-align:left;margin-left:56.7pt;margin-top:806.85pt;width:256.75pt;height:17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" stroked="f" strokecolor="#005541" strokeweight="1pt">
              <v:textbox inset="0,0">
                <w:txbxContent>
                  <w:p w14:paraId="1B11C3E5" w14:textId="77777777" w:rsidR="002B49FA" w:rsidRPr="000C3C4D" w:rsidRDefault="002B49FA" w:rsidP="007B70A0">
                    <w:pPr>
                      <w:rPr>
                        <w:color w:val="0091A5"/>
                      </w:rPr>
                    </w:pPr>
                    <w:r w:rsidRPr="000C3C4D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07651">
      <w:rPr>
        <w:rFonts w:asciiTheme="minorHAnsi" w:hAnsiTheme="minorHAnsi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1C3DA" w14:textId="28903BEA" w:rsidR="002B49FA" w:rsidRPr="000A4FBB" w:rsidRDefault="002B49FA" w:rsidP="000A4FBB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B11C3E0" wp14:editId="295B2467">
              <wp:simplePos x="0" y="0"/>
              <wp:positionH relativeFrom="page">
                <wp:posOffset>3711575</wp:posOffset>
              </wp:positionH>
              <wp:positionV relativeFrom="paragraph">
                <wp:posOffset>184785</wp:posOffset>
              </wp:positionV>
              <wp:extent cx="3260725" cy="217805"/>
              <wp:effectExtent l="0" t="3810" r="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1C3E6" w14:textId="6A8D8B91" w:rsidR="002B49FA" w:rsidRPr="006674B8" w:rsidRDefault="002B49FA" w:rsidP="006674B8">
                          <w:pPr>
                            <w:jc w:val="right"/>
                          </w:pPr>
                          <w:r>
                            <w:t xml:space="preserve">Page </w:t>
                          </w:r>
                          <w:r w:rsidRPr="007B70A0">
                            <w:rPr>
                              <w:color w:val="0091A5"/>
                            </w:rPr>
                            <w:fldChar w:fldCharType="begin"/>
                          </w:r>
                          <w:r w:rsidRPr="007B70A0">
                            <w:rPr>
                              <w:color w:val="0091A5"/>
                            </w:rPr>
                            <w:instrText xml:space="preserve"> PAGE </w:instrText>
                          </w:r>
                          <w:r w:rsidRPr="007B70A0">
                            <w:rPr>
                              <w:color w:val="0091A5"/>
                            </w:rPr>
                            <w:fldChar w:fldCharType="separate"/>
                          </w:r>
                          <w:r w:rsidR="007C6D59">
                            <w:rPr>
                              <w:noProof/>
                              <w:color w:val="0091A5"/>
                            </w:rPr>
                            <w:t>1</w:t>
                          </w:r>
                          <w:r w:rsidRPr="007B70A0">
                            <w:rPr>
                              <w:color w:val="0091A5"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 w:rsidRPr="007B70A0">
                            <w:rPr>
                              <w:color w:val="0091A5"/>
                            </w:rPr>
                            <w:fldChar w:fldCharType="begin"/>
                          </w:r>
                          <w:r w:rsidRPr="007B70A0">
                            <w:rPr>
                              <w:color w:val="0091A5"/>
                            </w:rPr>
                            <w:instrText xml:space="preserve"> NUMPAGES  </w:instrText>
                          </w:r>
                          <w:r w:rsidRPr="007B70A0">
                            <w:rPr>
                              <w:color w:val="0091A5"/>
                            </w:rPr>
                            <w:fldChar w:fldCharType="separate"/>
                          </w:r>
                          <w:r w:rsidR="007C6D59">
                            <w:rPr>
                              <w:noProof/>
                              <w:color w:val="0091A5"/>
                            </w:rPr>
                            <w:t>3</w:t>
                          </w:r>
                          <w:r w:rsidRPr="007B70A0">
                            <w:rPr>
                              <w:color w:val="0091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1C3E0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left:0;text-align:left;margin-left:292.25pt;margin-top:14.55pt;width:256.75pt;height:17.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" stroked="f" strokecolor="#005541" strokeweight="1pt">
              <v:textbox inset="0,0">
                <w:txbxContent>
                  <w:p w14:paraId="1B11C3E6" w14:textId="6A8D8B91" w:rsidR="002B49FA" w:rsidRPr="006674B8" w:rsidRDefault="002B49FA" w:rsidP="006674B8">
                    <w:pPr>
                      <w:jc w:val="right"/>
                    </w:pPr>
                    <w:r>
                      <w:t xml:space="preserve">Page </w:t>
                    </w:r>
                    <w:r w:rsidRPr="007B70A0">
                      <w:rPr>
                        <w:color w:val="0091A5"/>
                      </w:rPr>
                      <w:fldChar w:fldCharType="begin"/>
                    </w:r>
                    <w:r w:rsidRPr="007B70A0">
                      <w:rPr>
                        <w:color w:val="0091A5"/>
                      </w:rPr>
                      <w:instrText xml:space="preserve"> PAGE </w:instrText>
                    </w:r>
                    <w:r w:rsidRPr="007B70A0">
                      <w:rPr>
                        <w:color w:val="0091A5"/>
                      </w:rPr>
                      <w:fldChar w:fldCharType="separate"/>
                    </w:r>
                    <w:r w:rsidR="007C6D59">
                      <w:rPr>
                        <w:noProof/>
                        <w:color w:val="0091A5"/>
                      </w:rPr>
                      <w:t>1</w:t>
                    </w:r>
                    <w:r w:rsidRPr="007B70A0">
                      <w:rPr>
                        <w:color w:val="0091A5"/>
                      </w:rPr>
                      <w:fldChar w:fldCharType="end"/>
                    </w:r>
                    <w:r>
                      <w:t xml:space="preserve"> of </w:t>
                    </w:r>
                    <w:r w:rsidRPr="007B70A0">
                      <w:rPr>
                        <w:color w:val="0091A5"/>
                      </w:rPr>
                      <w:fldChar w:fldCharType="begin"/>
                    </w:r>
                    <w:r w:rsidRPr="007B70A0">
                      <w:rPr>
                        <w:color w:val="0091A5"/>
                      </w:rPr>
                      <w:instrText xml:space="preserve"> NUMPAGES  </w:instrText>
                    </w:r>
                    <w:r w:rsidRPr="007B70A0">
                      <w:rPr>
                        <w:color w:val="0091A5"/>
                      </w:rPr>
                      <w:fldChar w:fldCharType="separate"/>
                    </w:r>
                    <w:r w:rsidR="007C6D59">
                      <w:rPr>
                        <w:noProof/>
                        <w:color w:val="0091A5"/>
                      </w:rPr>
                      <w:t>3</w:t>
                    </w:r>
                    <w:r w:rsidRPr="007B70A0">
                      <w:rPr>
                        <w:color w:val="0091A5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B11C3E1" wp14:editId="746100D4">
              <wp:simplePos x="0" y="0"/>
              <wp:positionH relativeFrom="page">
                <wp:posOffset>720090</wp:posOffset>
              </wp:positionH>
              <wp:positionV relativeFrom="paragraph">
                <wp:posOffset>-38100</wp:posOffset>
              </wp:positionV>
              <wp:extent cx="5257800" cy="260985"/>
              <wp:effectExtent l="0" t="0" r="381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1C3E7" w14:textId="3CDF28C3" w:rsidR="002B49FA" w:rsidRDefault="002B49FA" w:rsidP="007B70A0">
                          <w:r>
                            <w:t>Version 1.0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11C3E1" id="Text Box 9" o:spid="_x0000_s1030" type="#_x0000_t202" style="position:absolute;left:0;text-align:left;margin-left:56.7pt;margin-top:-3pt;width:414pt;height:20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" stroked="f" strokecolor="#005541" strokeweight="1pt">
              <v:textbox inset="0">
                <w:txbxContent>
                  <w:p w14:paraId="1B11C3E7" w14:textId="3CDF28C3" w:rsidR="002B49FA" w:rsidRDefault="002B49FA" w:rsidP="007B70A0">
                    <w:r>
                      <w:t>Version 1.0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B11C3E2" wp14:editId="2D6028CD">
              <wp:simplePos x="0" y="0"/>
              <wp:positionH relativeFrom="page">
                <wp:posOffset>720090</wp:posOffset>
              </wp:positionH>
              <wp:positionV relativeFrom="paragraph">
                <wp:posOffset>184785</wp:posOffset>
              </wp:positionV>
              <wp:extent cx="3260725" cy="217805"/>
              <wp:effectExtent l="0" t="3810" r="635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1C3E8" w14:textId="77777777" w:rsidR="002B49FA" w:rsidRPr="000C3C4D" w:rsidRDefault="002B49FA" w:rsidP="007B70A0">
                          <w:pPr>
                            <w:rPr>
                              <w:color w:val="0091A5"/>
                            </w:rPr>
                          </w:pPr>
                          <w:r w:rsidRPr="000C3C4D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11C3E2" id="Text Box 10" o:spid="_x0000_s1031" type="#_x0000_t202" style="position:absolute;left:0;text-align:left;margin-left:56.7pt;margin-top:14.55pt;width:256.75pt;height:17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" stroked="f" strokecolor="#005541" strokeweight="1pt">
              <v:textbox inset="0,0">
                <w:txbxContent>
                  <w:p w14:paraId="1B11C3E8" w14:textId="77777777" w:rsidR="002B49FA" w:rsidRPr="000C3C4D" w:rsidRDefault="002B49FA" w:rsidP="007B70A0">
                    <w:pPr>
                      <w:rPr>
                        <w:color w:val="0091A5"/>
                      </w:rPr>
                    </w:pPr>
                    <w:r w:rsidRPr="000C3C4D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0A4FB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0025E" w14:textId="77777777" w:rsidR="00857A92" w:rsidRDefault="00857A92" w:rsidP="003B1B95">
      <w:r>
        <w:separator/>
      </w:r>
    </w:p>
  </w:footnote>
  <w:footnote w:type="continuationSeparator" w:id="0">
    <w:p w14:paraId="03EA63D6" w14:textId="77777777" w:rsidR="00857A92" w:rsidRDefault="00857A92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1C3C6" w14:textId="77777777" w:rsidR="002B49FA" w:rsidRDefault="002B49FA" w:rsidP="00053B3F">
    <w:pPr>
      <w:pStyle w:val="Header"/>
    </w:pPr>
  </w:p>
  <w:p w14:paraId="1B11C3C7" w14:textId="77777777" w:rsidR="002B49FA" w:rsidRDefault="002B4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4474" w:tblpY="1305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</w:tblGrid>
    <w:tr w:rsidR="002B49FA" w:rsidRPr="0090591E" w14:paraId="1B11C3CC" w14:textId="77777777" w:rsidTr="006C24DF">
      <w:trPr>
        <w:trHeight w:val="1555"/>
      </w:trPr>
      <w:tc>
        <w:tcPr>
          <w:tcW w:w="6521" w:type="dxa"/>
        </w:tcPr>
        <w:p w14:paraId="6BE4AB88" w14:textId="2870F60C" w:rsidR="007337AD" w:rsidRDefault="007337AD" w:rsidP="007337AD">
          <w:pPr>
            <w:rPr>
              <w:color w:val="0091A5"/>
              <w:sz w:val="56"/>
              <w:szCs w:val="56"/>
            </w:rPr>
          </w:pPr>
          <w:r w:rsidRPr="007337AD">
            <w:rPr>
              <w:color w:val="0091A5"/>
              <w:sz w:val="56"/>
              <w:szCs w:val="56"/>
            </w:rPr>
            <w:t>Guidance on</w:t>
          </w:r>
          <w:r>
            <w:rPr>
              <w:color w:val="0091A5"/>
              <w:sz w:val="56"/>
              <w:szCs w:val="56"/>
            </w:rPr>
            <w:t xml:space="preserve"> e</w:t>
          </w:r>
          <w:r w:rsidRPr="007337AD">
            <w:rPr>
              <w:color w:val="0091A5"/>
              <w:sz w:val="56"/>
              <w:szCs w:val="56"/>
            </w:rPr>
            <w:t xml:space="preserve">vidence for </w:t>
          </w:r>
        </w:p>
        <w:p w14:paraId="1B11C3CB" w14:textId="0A4A92CD" w:rsidR="002B49FA" w:rsidRPr="007337AD" w:rsidRDefault="00535C25" w:rsidP="007337AD">
          <w:pPr>
            <w:rPr>
              <w:color w:val="0091A5"/>
              <w:sz w:val="56"/>
              <w:szCs w:val="56"/>
            </w:rPr>
          </w:pPr>
          <w:r>
            <w:rPr>
              <w:color w:val="0091A5"/>
              <w:sz w:val="56"/>
              <w:szCs w:val="56"/>
            </w:rPr>
            <w:t>t</w:t>
          </w:r>
          <w:r w:rsidR="007337AD" w:rsidRPr="007337AD">
            <w:rPr>
              <w:color w:val="0091A5"/>
              <w:sz w:val="56"/>
              <w:szCs w:val="56"/>
            </w:rPr>
            <w:t>ransitional</w:t>
          </w:r>
          <w:r w:rsidR="00BF0CF9">
            <w:rPr>
              <w:color w:val="0091A5"/>
              <w:sz w:val="56"/>
              <w:szCs w:val="56"/>
            </w:rPr>
            <w:t xml:space="preserve"> </w:t>
          </w:r>
          <w:bookmarkStart w:id="1" w:name="_Hlk517777953"/>
          <w:r w:rsidR="00BF0CF9">
            <w:rPr>
              <w:color w:val="0091A5"/>
              <w:sz w:val="56"/>
              <w:szCs w:val="56"/>
            </w:rPr>
            <w:t>wate</w:t>
          </w:r>
          <w:bookmarkEnd w:id="1"/>
          <w:r w:rsidR="00BF0CF9">
            <w:rPr>
              <w:color w:val="0091A5"/>
              <w:sz w:val="56"/>
              <w:szCs w:val="56"/>
            </w:rPr>
            <w:t>r resources licence</w:t>
          </w:r>
          <w:r w:rsidR="007337AD" w:rsidRPr="007337AD">
            <w:rPr>
              <w:color w:val="0091A5"/>
              <w:sz w:val="56"/>
              <w:szCs w:val="56"/>
            </w:rPr>
            <w:t xml:space="preserve"> applications</w:t>
          </w:r>
        </w:p>
      </w:tc>
    </w:tr>
  </w:tbl>
  <w:p w14:paraId="1B11C3CD" w14:textId="65BA9BA1" w:rsidR="002B49FA" w:rsidRPr="0090591E" w:rsidRDefault="002B49FA">
    <w:pPr>
      <w:pStyle w:val="Header"/>
      <w:rPr>
        <w:sz w:val="64"/>
        <w:szCs w:val="64"/>
      </w:rPr>
    </w:pPr>
  </w:p>
  <w:p w14:paraId="1B11C3CE" w14:textId="77777777" w:rsidR="002B49FA" w:rsidRPr="0090591E" w:rsidRDefault="002B49FA">
    <w:pPr>
      <w:pStyle w:val="Header"/>
      <w:rPr>
        <w:sz w:val="64"/>
        <w:szCs w:val="64"/>
      </w:rPr>
    </w:pPr>
  </w:p>
  <w:p w14:paraId="1B11C3CF" w14:textId="77777777" w:rsidR="002B49FA" w:rsidRPr="0090591E" w:rsidRDefault="002B49FA" w:rsidP="00CB738A">
    <w:pPr>
      <w:pStyle w:val="Header"/>
      <w:jc w:val="center"/>
      <w:rPr>
        <w:sz w:val="64"/>
        <w:szCs w:val="64"/>
      </w:rPr>
    </w:pPr>
  </w:p>
  <w:p w14:paraId="1B11C3D0" w14:textId="77777777" w:rsidR="002B49FA" w:rsidRDefault="002B49FA">
    <w:pPr>
      <w:pStyle w:val="Header"/>
    </w:pPr>
  </w:p>
  <w:p w14:paraId="1B11C3D1" w14:textId="77777777" w:rsidR="002B49FA" w:rsidRDefault="002B49FA">
    <w:pPr>
      <w:pStyle w:val="Header"/>
    </w:pPr>
  </w:p>
  <w:p w14:paraId="1B11C3D2" w14:textId="77777777" w:rsidR="002B49FA" w:rsidRDefault="002B49FA">
    <w:pPr>
      <w:pStyle w:val="Header"/>
    </w:pPr>
  </w:p>
  <w:p w14:paraId="1B11C3D9" w14:textId="18357856" w:rsidR="002B49FA" w:rsidRDefault="002B49F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1" locked="1" layoutInCell="1" allowOverlap="1" wp14:anchorId="1B11C3DE" wp14:editId="30092FBA">
          <wp:simplePos x="0" y="0"/>
          <wp:positionH relativeFrom="page">
            <wp:posOffset>520065</wp:posOffset>
          </wp:positionH>
          <wp:positionV relativeFrom="page">
            <wp:posOffset>862330</wp:posOffset>
          </wp:positionV>
          <wp:extent cx="1800225" cy="1238250"/>
          <wp:effectExtent l="19050" t="0" r="9525" b="0"/>
          <wp:wrapNone/>
          <wp:docPr id="16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662"/>
    <w:multiLevelType w:val="hybridMultilevel"/>
    <w:tmpl w:val="28A8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B2D82"/>
    <w:multiLevelType w:val="hybridMultilevel"/>
    <w:tmpl w:val="4330D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4185E"/>
    <w:multiLevelType w:val="multilevel"/>
    <w:tmpl w:val="2C46F1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5" w15:restartNumberingAfterBreak="0">
    <w:nsid w:val="36383A27"/>
    <w:multiLevelType w:val="hybridMultilevel"/>
    <w:tmpl w:val="4230B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0B1268"/>
    <w:multiLevelType w:val="multilevel"/>
    <w:tmpl w:val="2C46F1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01355F9"/>
    <w:multiLevelType w:val="multilevel"/>
    <w:tmpl w:val="2C46F1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72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 w15:restartNumberingAfterBreak="0">
    <w:nsid w:val="66D00BBE"/>
    <w:multiLevelType w:val="hybridMultilevel"/>
    <w:tmpl w:val="00EE28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24A30"/>
    <w:multiLevelType w:val="multilevel"/>
    <w:tmpl w:val="F39896E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9"/>
  </w:num>
  <w:num w:numId="8">
    <w:abstractNumId w:val="11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 w:themeColor="accent3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284" w:firstLine="0"/>
        </w:pPr>
        <w:rPr>
          <w:rFonts w:ascii="Courier New" w:hAnsi="Courier New" w:hint="default"/>
          <w:color w:val="3C3C41" w:themeColor="accent6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9">
    <w:abstractNumId w:val="11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 w:themeColor="accent3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284" w:firstLine="0"/>
        </w:pPr>
        <w:rPr>
          <w:rFonts w:ascii="Courier New" w:hAnsi="Courier New" w:hint="default"/>
          <w:color w:val="3C3C41" w:themeColor="accent6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0">
    <w:abstractNumId w:val="4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6"/>
  </w:num>
  <w:num w:numId="12">
    <w:abstractNumId w:val="7"/>
  </w:num>
  <w:num w:numId="13">
    <w:abstractNumId w:val="2"/>
  </w:num>
  <w:num w:numId="14">
    <w:abstractNumId w:val="4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5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20"/>
  <w:defaultTableStyle w:val="Table"/>
  <w:drawingGridHorizontalSpacing w:val="120"/>
  <w:displayHorizontalDrawingGridEvery w:val="2"/>
  <w:characterSpacingControl w:val="doNotCompress"/>
  <w:hdrShapeDefaults>
    <o:shapedefaults v:ext="edit" spidmax="43009" strokecolor="none [3206]">
      <v:stroke color="none [3206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B95"/>
    <w:rsid w:val="000251C2"/>
    <w:rsid w:val="00026B19"/>
    <w:rsid w:val="000326C4"/>
    <w:rsid w:val="00037ABC"/>
    <w:rsid w:val="000415B8"/>
    <w:rsid w:val="0005036F"/>
    <w:rsid w:val="00053B3F"/>
    <w:rsid w:val="00064FA3"/>
    <w:rsid w:val="00082E78"/>
    <w:rsid w:val="00094691"/>
    <w:rsid w:val="000A02D5"/>
    <w:rsid w:val="000A11D7"/>
    <w:rsid w:val="000A4FBB"/>
    <w:rsid w:val="000B674C"/>
    <w:rsid w:val="000B6AE8"/>
    <w:rsid w:val="000B6CDD"/>
    <w:rsid w:val="000C3C4D"/>
    <w:rsid w:val="000C40E4"/>
    <w:rsid w:val="000F178E"/>
    <w:rsid w:val="001100D5"/>
    <w:rsid w:val="0012088E"/>
    <w:rsid w:val="001243AA"/>
    <w:rsid w:val="00134DF4"/>
    <w:rsid w:val="00140A7F"/>
    <w:rsid w:val="001441AC"/>
    <w:rsid w:val="00145FD3"/>
    <w:rsid w:val="001608DC"/>
    <w:rsid w:val="0017418F"/>
    <w:rsid w:val="00175171"/>
    <w:rsid w:val="00175229"/>
    <w:rsid w:val="00175C33"/>
    <w:rsid w:val="00181913"/>
    <w:rsid w:val="00183C0D"/>
    <w:rsid w:val="00185FD5"/>
    <w:rsid w:val="001A598B"/>
    <w:rsid w:val="001A7D07"/>
    <w:rsid w:val="001B545A"/>
    <w:rsid w:val="001C1E84"/>
    <w:rsid w:val="001E1B62"/>
    <w:rsid w:val="001E6CF0"/>
    <w:rsid w:val="001F2BED"/>
    <w:rsid w:val="001F2CA8"/>
    <w:rsid w:val="001F73FB"/>
    <w:rsid w:val="001F78F1"/>
    <w:rsid w:val="0020242D"/>
    <w:rsid w:val="00203BB6"/>
    <w:rsid w:val="00225BCA"/>
    <w:rsid w:val="00244907"/>
    <w:rsid w:val="00273DF0"/>
    <w:rsid w:val="0027584E"/>
    <w:rsid w:val="00281A50"/>
    <w:rsid w:val="00291868"/>
    <w:rsid w:val="002935B4"/>
    <w:rsid w:val="00294594"/>
    <w:rsid w:val="002971B1"/>
    <w:rsid w:val="002B18C4"/>
    <w:rsid w:val="002B49FA"/>
    <w:rsid w:val="002C02F8"/>
    <w:rsid w:val="002C41EA"/>
    <w:rsid w:val="002C795B"/>
    <w:rsid w:val="002D1C88"/>
    <w:rsid w:val="002D66BB"/>
    <w:rsid w:val="002F5B1B"/>
    <w:rsid w:val="002F62BC"/>
    <w:rsid w:val="00316F44"/>
    <w:rsid w:val="00327758"/>
    <w:rsid w:val="00331D27"/>
    <w:rsid w:val="00333EE2"/>
    <w:rsid w:val="00347038"/>
    <w:rsid w:val="003525F3"/>
    <w:rsid w:val="00373626"/>
    <w:rsid w:val="0037784B"/>
    <w:rsid w:val="00385A86"/>
    <w:rsid w:val="00387659"/>
    <w:rsid w:val="00394594"/>
    <w:rsid w:val="00397B2F"/>
    <w:rsid w:val="003A19C9"/>
    <w:rsid w:val="003A64A3"/>
    <w:rsid w:val="003B1B95"/>
    <w:rsid w:val="003C2F56"/>
    <w:rsid w:val="003E251F"/>
    <w:rsid w:val="003E7B7B"/>
    <w:rsid w:val="003F16B3"/>
    <w:rsid w:val="003F6392"/>
    <w:rsid w:val="00402185"/>
    <w:rsid w:val="0040220E"/>
    <w:rsid w:val="004023F5"/>
    <w:rsid w:val="00407651"/>
    <w:rsid w:val="00412B4A"/>
    <w:rsid w:val="0042071E"/>
    <w:rsid w:val="004236A1"/>
    <w:rsid w:val="0043145C"/>
    <w:rsid w:val="00433B8F"/>
    <w:rsid w:val="00436BB6"/>
    <w:rsid w:val="00442DFC"/>
    <w:rsid w:val="00470648"/>
    <w:rsid w:val="00472C1A"/>
    <w:rsid w:val="00486E55"/>
    <w:rsid w:val="004B55D4"/>
    <w:rsid w:val="004C03CE"/>
    <w:rsid w:val="004C208E"/>
    <w:rsid w:val="004D307D"/>
    <w:rsid w:val="004D4727"/>
    <w:rsid w:val="004F0320"/>
    <w:rsid w:val="0050774C"/>
    <w:rsid w:val="00507FC7"/>
    <w:rsid w:val="00533B80"/>
    <w:rsid w:val="00535C25"/>
    <w:rsid w:val="00535CC2"/>
    <w:rsid w:val="00544030"/>
    <w:rsid w:val="00554969"/>
    <w:rsid w:val="00584599"/>
    <w:rsid w:val="005B73A7"/>
    <w:rsid w:val="005C27C9"/>
    <w:rsid w:val="005D1355"/>
    <w:rsid w:val="005D50B6"/>
    <w:rsid w:val="005E09BB"/>
    <w:rsid w:val="005E35F6"/>
    <w:rsid w:val="005E4789"/>
    <w:rsid w:val="00600462"/>
    <w:rsid w:val="006148AE"/>
    <w:rsid w:val="0062187F"/>
    <w:rsid w:val="0063537F"/>
    <w:rsid w:val="00640322"/>
    <w:rsid w:val="00646F54"/>
    <w:rsid w:val="00660B79"/>
    <w:rsid w:val="00663A56"/>
    <w:rsid w:val="006674B8"/>
    <w:rsid w:val="00667FAD"/>
    <w:rsid w:val="006818BC"/>
    <w:rsid w:val="006908E3"/>
    <w:rsid w:val="006957DB"/>
    <w:rsid w:val="006A52AB"/>
    <w:rsid w:val="006B439F"/>
    <w:rsid w:val="006C24DF"/>
    <w:rsid w:val="006C7AE1"/>
    <w:rsid w:val="006D0A3E"/>
    <w:rsid w:val="006D71C8"/>
    <w:rsid w:val="006E1121"/>
    <w:rsid w:val="006E2E37"/>
    <w:rsid w:val="006F1FBB"/>
    <w:rsid w:val="006F5BA4"/>
    <w:rsid w:val="007067F1"/>
    <w:rsid w:val="007127CF"/>
    <w:rsid w:val="00713471"/>
    <w:rsid w:val="00716770"/>
    <w:rsid w:val="00720241"/>
    <w:rsid w:val="007229E2"/>
    <w:rsid w:val="00731ED3"/>
    <w:rsid w:val="007337AD"/>
    <w:rsid w:val="00736282"/>
    <w:rsid w:val="007373F4"/>
    <w:rsid w:val="00752167"/>
    <w:rsid w:val="00773040"/>
    <w:rsid w:val="00780D50"/>
    <w:rsid w:val="00781C41"/>
    <w:rsid w:val="00783CEA"/>
    <w:rsid w:val="00784CC7"/>
    <w:rsid w:val="007877A3"/>
    <w:rsid w:val="00787E60"/>
    <w:rsid w:val="007B21B0"/>
    <w:rsid w:val="007B70A0"/>
    <w:rsid w:val="007C2BEC"/>
    <w:rsid w:val="007C6D59"/>
    <w:rsid w:val="007E2B4A"/>
    <w:rsid w:val="007E2F85"/>
    <w:rsid w:val="00816796"/>
    <w:rsid w:val="00816C51"/>
    <w:rsid w:val="008210C9"/>
    <w:rsid w:val="00821C35"/>
    <w:rsid w:val="00827241"/>
    <w:rsid w:val="008278BB"/>
    <w:rsid w:val="008423A1"/>
    <w:rsid w:val="00857A92"/>
    <w:rsid w:val="008606B0"/>
    <w:rsid w:val="00881097"/>
    <w:rsid w:val="00882B8A"/>
    <w:rsid w:val="0088547D"/>
    <w:rsid w:val="00886011"/>
    <w:rsid w:val="00896F96"/>
    <w:rsid w:val="008A4B13"/>
    <w:rsid w:val="008A777A"/>
    <w:rsid w:val="008B4E60"/>
    <w:rsid w:val="008C3A0D"/>
    <w:rsid w:val="008C595B"/>
    <w:rsid w:val="008C75F5"/>
    <w:rsid w:val="008F11CB"/>
    <w:rsid w:val="008F2A16"/>
    <w:rsid w:val="008F53E2"/>
    <w:rsid w:val="008F5E20"/>
    <w:rsid w:val="00900002"/>
    <w:rsid w:val="009007A6"/>
    <w:rsid w:val="009019E8"/>
    <w:rsid w:val="00902027"/>
    <w:rsid w:val="0090591E"/>
    <w:rsid w:val="0092599B"/>
    <w:rsid w:val="00927848"/>
    <w:rsid w:val="00932B03"/>
    <w:rsid w:val="009834A0"/>
    <w:rsid w:val="00993CB4"/>
    <w:rsid w:val="00995387"/>
    <w:rsid w:val="0099694E"/>
    <w:rsid w:val="009A1699"/>
    <w:rsid w:val="009C4B83"/>
    <w:rsid w:val="009D4942"/>
    <w:rsid w:val="009D6133"/>
    <w:rsid w:val="009E4C33"/>
    <w:rsid w:val="009F5CAF"/>
    <w:rsid w:val="00A054FD"/>
    <w:rsid w:val="00A15C37"/>
    <w:rsid w:val="00A17429"/>
    <w:rsid w:val="00A20A46"/>
    <w:rsid w:val="00A3764F"/>
    <w:rsid w:val="00A4749E"/>
    <w:rsid w:val="00A5038F"/>
    <w:rsid w:val="00A52E5A"/>
    <w:rsid w:val="00A548B7"/>
    <w:rsid w:val="00A63022"/>
    <w:rsid w:val="00A723C9"/>
    <w:rsid w:val="00A72ABC"/>
    <w:rsid w:val="00A74A63"/>
    <w:rsid w:val="00A82572"/>
    <w:rsid w:val="00A8348D"/>
    <w:rsid w:val="00A90F51"/>
    <w:rsid w:val="00A94FE6"/>
    <w:rsid w:val="00A956C4"/>
    <w:rsid w:val="00AA2362"/>
    <w:rsid w:val="00AA4BF2"/>
    <w:rsid w:val="00AB021D"/>
    <w:rsid w:val="00AB621C"/>
    <w:rsid w:val="00AB7169"/>
    <w:rsid w:val="00AB7CEE"/>
    <w:rsid w:val="00AD0B75"/>
    <w:rsid w:val="00AD43A6"/>
    <w:rsid w:val="00AD68A8"/>
    <w:rsid w:val="00AE432A"/>
    <w:rsid w:val="00AF42F2"/>
    <w:rsid w:val="00AF71F3"/>
    <w:rsid w:val="00B16187"/>
    <w:rsid w:val="00B26B97"/>
    <w:rsid w:val="00B3076F"/>
    <w:rsid w:val="00B35F5E"/>
    <w:rsid w:val="00B53ED2"/>
    <w:rsid w:val="00B577B4"/>
    <w:rsid w:val="00B85CC2"/>
    <w:rsid w:val="00B90A54"/>
    <w:rsid w:val="00B960D1"/>
    <w:rsid w:val="00B96327"/>
    <w:rsid w:val="00BA060B"/>
    <w:rsid w:val="00BA3D6C"/>
    <w:rsid w:val="00BA4425"/>
    <w:rsid w:val="00BD43FC"/>
    <w:rsid w:val="00BD64DB"/>
    <w:rsid w:val="00BE1BB4"/>
    <w:rsid w:val="00BE46F6"/>
    <w:rsid w:val="00BF0CF9"/>
    <w:rsid w:val="00BF0D5B"/>
    <w:rsid w:val="00BF2C8E"/>
    <w:rsid w:val="00C117F1"/>
    <w:rsid w:val="00C216FB"/>
    <w:rsid w:val="00C25B77"/>
    <w:rsid w:val="00C332A7"/>
    <w:rsid w:val="00C37E1F"/>
    <w:rsid w:val="00C4505B"/>
    <w:rsid w:val="00C60967"/>
    <w:rsid w:val="00C6108E"/>
    <w:rsid w:val="00C70538"/>
    <w:rsid w:val="00C71966"/>
    <w:rsid w:val="00C75A32"/>
    <w:rsid w:val="00C92739"/>
    <w:rsid w:val="00C94849"/>
    <w:rsid w:val="00C95B95"/>
    <w:rsid w:val="00CA010B"/>
    <w:rsid w:val="00CA0C91"/>
    <w:rsid w:val="00CA47CE"/>
    <w:rsid w:val="00CB679A"/>
    <w:rsid w:val="00CB738A"/>
    <w:rsid w:val="00CC6B31"/>
    <w:rsid w:val="00CD32EF"/>
    <w:rsid w:val="00CD3995"/>
    <w:rsid w:val="00CD50E5"/>
    <w:rsid w:val="00CE2040"/>
    <w:rsid w:val="00CF35EE"/>
    <w:rsid w:val="00CF37E9"/>
    <w:rsid w:val="00D00787"/>
    <w:rsid w:val="00D05D5B"/>
    <w:rsid w:val="00D10262"/>
    <w:rsid w:val="00D12D6E"/>
    <w:rsid w:val="00D2459D"/>
    <w:rsid w:val="00D27E71"/>
    <w:rsid w:val="00D3125C"/>
    <w:rsid w:val="00D5738E"/>
    <w:rsid w:val="00D70A91"/>
    <w:rsid w:val="00D71A7F"/>
    <w:rsid w:val="00D76ED5"/>
    <w:rsid w:val="00D85D20"/>
    <w:rsid w:val="00D90877"/>
    <w:rsid w:val="00D926C3"/>
    <w:rsid w:val="00DA157D"/>
    <w:rsid w:val="00DB15DE"/>
    <w:rsid w:val="00DB79D7"/>
    <w:rsid w:val="00DD2ACE"/>
    <w:rsid w:val="00DE26EF"/>
    <w:rsid w:val="00E10D04"/>
    <w:rsid w:val="00E130B6"/>
    <w:rsid w:val="00E138BB"/>
    <w:rsid w:val="00E21AF5"/>
    <w:rsid w:val="00E21CF4"/>
    <w:rsid w:val="00E24C95"/>
    <w:rsid w:val="00E3072A"/>
    <w:rsid w:val="00E51590"/>
    <w:rsid w:val="00E5193E"/>
    <w:rsid w:val="00E60768"/>
    <w:rsid w:val="00EA1333"/>
    <w:rsid w:val="00EB348F"/>
    <w:rsid w:val="00EB4078"/>
    <w:rsid w:val="00EB5188"/>
    <w:rsid w:val="00EB61A6"/>
    <w:rsid w:val="00EB700B"/>
    <w:rsid w:val="00ED34D2"/>
    <w:rsid w:val="00ED5845"/>
    <w:rsid w:val="00EE245F"/>
    <w:rsid w:val="00EF1D26"/>
    <w:rsid w:val="00EF51A6"/>
    <w:rsid w:val="00F00283"/>
    <w:rsid w:val="00F10141"/>
    <w:rsid w:val="00F1198C"/>
    <w:rsid w:val="00F12ECE"/>
    <w:rsid w:val="00F179BD"/>
    <w:rsid w:val="00F50192"/>
    <w:rsid w:val="00F526A4"/>
    <w:rsid w:val="00F553C7"/>
    <w:rsid w:val="00F73913"/>
    <w:rsid w:val="00F75142"/>
    <w:rsid w:val="00F803A1"/>
    <w:rsid w:val="00F82A81"/>
    <w:rsid w:val="00F8490A"/>
    <w:rsid w:val="00F91432"/>
    <w:rsid w:val="00FA5DBF"/>
    <w:rsid w:val="00FB361F"/>
    <w:rsid w:val="00FB610F"/>
    <w:rsid w:val="00FC78CE"/>
    <w:rsid w:val="00FD0C2E"/>
    <w:rsid w:val="00FD3F0C"/>
    <w:rsid w:val="00FE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strokecolor="none [3206]">
      <v:stroke color="none [3206]" weight="1pt"/>
    </o:shapedefaults>
    <o:shapelayout v:ext="edit">
      <o:idmap v:ext="edit" data="1"/>
    </o:shapelayout>
  </w:shapeDefaults>
  <w:decimalSymbol w:val="."/>
  <w:listSeparator w:val=","/>
  <w14:docId w14:val="1B11C3BB"/>
  <w15:docId w15:val="{2685547C-9E41-479B-96CF-A577E98F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3E251F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0326C4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0326C4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0326C4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0326C4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">
    <w:name w:val="Table Style"/>
    <w:basedOn w:val="TableNormal"/>
    <w:uiPriority w:val="99"/>
    <w:semiHidden/>
    <w:rsid w:val="002D1C88"/>
    <w:tblPr>
      <w:tblBorders>
        <w:insideH w:val="single" w:sz="4" w:space="0" w:color="auto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paragraph" w:styleId="BalloonText">
    <w:name w:val="Balloon Text"/>
    <w:basedOn w:val="Normal"/>
    <w:link w:val="BalloonTextChar"/>
    <w:semiHidden/>
    <w:rsid w:val="007B7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B9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7B70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B1B9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semiHidden/>
    <w:rsid w:val="007B7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B1B95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4236A1"/>
    <w:rPr>
      <w:rFonts w:ascii="Arial" w:hAnsi="Arial"/>
      <w:b/>
      <w:bCs/>
      <w:color w:val="0091A5"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326C4"/>
    <w:rPr>
      <w:rFonts w:ascii="Arial" w:eastAsia="Times New Roman" w:hAnsi="Arial" w:cs="Times New Roman"/>
      <w:b/>
      <w:bCs/>
      <w:color w:val="0091A5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0326C4"/>
    <w:rPr>
      <w:rFonts w:ascii="Arial" w:eastAsia="Times New Roman" w:hAnsi="Arial" w:cs="Times New Roman"/>
      <w:b/>
      <w:bCs/>
      <w:color w:val="3C3C4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326C4"/>
    <w:rPr>
      <w:rFonts w:ascii="Arial" w:eastAsia="Times New Roman" w:hAnsi="Arial" w:cs="Times New Roman"/>
      <w:bCs/>
      <w:i/>
      <w:iCs/>
      <w:color w:val="3C3C41"/>
      <w:sz w:val="24"/>
      <w:szCs w:val="24"/>
      <w:lang w:eastAsia="en-US"/>
    </w:rPr>
  </w:style>
  <w:style w:type="paragraph" w:customStyle="1" w:styleId="Bullets">
    <w:name w:val="Bullets"/>
    <w:basedOn w:val="Normal"/>
    <w:uiPriority w:val="99"/>
    <w:qFormat/>
    <w:rsid w:val="000326C4"/>
    <w:pPr>
      <w:numPr>
        <w:numId w:val="14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0326C4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0326C4"/>
    <w:rPr>
      <w:rFonts w:ascii="Arial" w:hAnsi="Arial"/>
      <w:color w:val="000000"/>
      <w:sz w:val="24"/>
      <w:szCs w:val="24"/>
      <w:lang w:eastAsia="en-US"/>
    </w:rPr>
  </w:style>
  <w:style w:type="paragraph" w:customStyle="1" w:styleId="Numbering">
    <w:name w:val="Numbering"/>
    <w:basedOn w:val="Normal"/>
    <w:qFormat/>
    <w:rsid w:val="00CC6B31"/>
    <w:pPr>
      <w:numPr>
        <w:numId w:val="7"/>
      </w:numPr>
    </w:pPr>
  </w:style>
  <w:style w:type="table" w:customStyle="1" w:styleId="Table">
    <w:name w:val="Table"/>
    <w:basedOn w:val="TableNormal"/>
    <w:rsid w:val="00D10262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semiHidden/>
    <w:rsid w:val="007B70A0"/>
    <w:rPr>
      <w:color w:val="2D962D"/>
      <w:u w:val="single"/>
    </w:rPr>
  </w:style>
  <w:style w:type="table" w:styleId="TableGrid">
    <w:name w:val="Table Grid"/>
    <w:basedOn w:val="TableNormal"/>
    <w:uiPriority w:val="39"/>
    <w:rsid w:val="00784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term">
    <w:name w:val="legterm"/>
    <w:basedOn w:val="DefaultParagraphFont"/>
    <w:rsid w:val="00640322"/>
  </w:style>
  <w:style w:type="character" w:customStyle="1" w:styleId="legds">
    <w:name w:val="legds"/>
    <w:basedOn w:val="DefaultParagraphFont"/>
    <w:rsid w:val="00640322"/>
  </w:style>
  <w:style w:type="paragraph" w:styleId="NoSpacing">
    <w:name w:val="No Spacing"/>
    <w:uiPriority w:val="1"/>
    <w:qFormat/>
    <w:rsid w:val="006403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40322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0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322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322"/>
    <w:rPr>
      <w:rFonts w:asciiTheme="minorHAnsi" w:eastAsiaTheme="minorHAnsi" w:hAnsiTheme="minorHAnsi" w:cstheme="minorBidi"/>
      <w:lang w:eastAsia="en-US"/>
    </w:rPr>
  </w:style>
  <w:style w:type="character" w:styleId="FollowedHyperlink">
    <w:name w:val="FollowedHyperlink"/>
    <w:basedOn w:val="DefaultParagraphFont"/>
    <w:semiHidden/>
    <w:unhideWhenUsed/>
    <w:rsid w:val="00640322"/>
    <w:rPr>
      <w:color w:val="0091A5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1590"/>
    <w:pPr>
      <w:spacing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1590"/>
    <w:rPr>
      <w:rFonts w:asciiTheme="minorHAnsi" w:eastAsiaTheme="minorHAnsi" w:hAnsiTheme="minorHAnsi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C6108E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81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16796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81679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167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cyfoethnaturiolcymru.gov.uk/permits-and-permissions/water-abstraction-and-impoundment/changes-to-water-abstraction-licensing-exemptions/?lang=e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@naturalresourceswales.gov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hdb.org.uk/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gov.uk/government/publications/optimum-use-of-water-for-industry-and-agricultural-dependent-on-direct-abstraction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atural Resources Colours">
      <a:dk1>
        <a:sysClr val="windowText" lastClr="000000"/>
      </a:dk1>
      <a:lt1>
        <a:sysClr val="window" lastClr="FFFFFF"/>
      </a:lt1>
      <a:dk2>
        <a:srgbClr val="82D2F0"/>
      </a:dk2>
      <a:lt2>
        <a:srgbClr val="005541"/>
      </a:lt2>
      <a:accent1>
        <a:srgbClr val="2D962D"/>
      </a:accent1>
      <a:accent2>
        <a:srgbClr val="3C3C41"/>
      </a:accent2>
      <a:accent3>
        <a:srgbClr val="0091A5"/>
      </a:accent3>
      <a:accent4>
        <a:srgbClr val="005541"/>
      </a:accent4>
      <a:accent5>
        <a:srgbClr val="82D2F0"/>
      </a:accent5>
      <a:accent6>
        <a:srgbClr val="3C3C41"/>
      </a:accent6>
      <a:hlink>
        <a:srgbClr val="2D962D"/>
      </a:hlink>
      <a:folHlink>
        <a:srgbClr val="0091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WATE-1040837641-195</_dlc_DocId>
    <_dlc_DocIdUrl xmlns="9be56660-2c31-41ef-bc00-23e72f632f2a">
      <Url>https://cyfoethnaturiolcymru.sharepoint.com/teams/waterman/wrsp/naepr/_layouts/15/DocIdRedir.aspx?ID=WATE-1040837641-195</Url>
      <Description>WATE-1040837641-195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3AC63F1E8F56F742BEB78674B11B2150" ma:contentTypeVersion="91" ma:contentTypeDescription="" ma:contentTypeScope="" ma:versionID="ee596daa8c65441690ad60f6e7382180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cf7bc2e1527c9b7189a9c0b545ee8181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2857A-743F-4874-8185-5220122C45C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9A577D4-0B41-4023-8B7F-E5EB1D4AC9D6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9be56660-2c31-41ef-bc00-23e72f632f2a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1C7AD5-F3ED-4EF9-8B1F-07FC410B2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19B8D4-40AE-41CB-9011-BEC1B9331A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2B232C-B451-4F14-A0E4-A306D70A29D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3346CC9-9401-4EA3-B52C-D3B48C15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creator>joanne</dc:creator>
  <cp:lastModifiedBy>Beckett, Mary</cp:lastModifiedBy>
  <cp:revision>2</cp:revision>
  <cp:lastPrinted>2018-07-04T12:17:00Z</cp:lastPrinted>
  <dcterms:created xsi:type="dcterms:W3CDTF">2018-07-04T16:37:00Z</dcterms:created>
  <dcterms:modified xsi:type="dcterms:W3CDTF">2018-07-04T16:37:00Z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0x01010067EB80C5FE939D4A9B3D8BA62129B7F501003AC63F1E8F56F742BEB78674B11B2150</vt:lpwstr>
  </property>
  <property fmtid="{D5CDD505-2E9C-101B-9397-08002B2CF9AE}" pid="3" name="_dlc_DocIdItemGuid">
    <vt:lpwstr>16873c51-d139-40cd-8421-18c21457482e</vt:lpwstr>
  </property>
</Properties>
</file>