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7B755" w14:textId="57B6AAC9" w:rsidR="006B620B" w:rsidRDefault="006E00AF" w:rsidP="002A09B6">
      <w:pPr>
        <w:pStyle w:val="Heading1"/>
      </w:pPr>
      <w:bookmarkStart w:id="0" w:name="_GoBack"/>
      <w:bookmarkEnd w:id="0"/>
      <w:r>
        <w:t>External Recruitment of People with Criminal Records – Policy Statement</w:t>
      </w:r>
    </w:p>
    <w:p w14:paraId="401B10AF" w14:textId="77777777" w:rsidR="006E00AF" w:rsidRPr="00961511" w:rsidRDefault="006E00AF" w:rsidP="006E00AF">
      <w:pPr>
        <w:pStyle w:val="BodyText"/>
        <w:rPr>
          <w:lang w:val="en" w:eastAsia="en-US"/>
        </w:rPr>
      </w:pPr>
      <w:r w:rsidRPr="00961511">
        <w:rPr>
          <w:lang w:val="en" w:eastAsia="en-US"/>
        </w:rPr>
        <w:t xml:space="preserve">Natural Resources promotes equal opportunity for all with the right mix of talent, skills and potential, including those with criminal records. The selection of candidates for interview will normally be based on skills and/or qualifications and experience. </w:t>
      </w:r>
    </w:p>
    <w:p w14:paraId="07695194" w14:textId="77777777" w:rsidR="006E00AF" w:rsidRPr="00961511" w:rsidRDefault="006E00AF" w:rsidP="006E00AF">
      <w:pPr>
        <w:pStyle w:val="BodyText"/>
        <w:rPr>
          <w:lang w:val="en" w:eastAsia="en-US"/>
        </w:rPr>
      </w:pPr>
      <w:r w:rsidRPr="00961511">
        <w:rPr>
          <w:lang w:val="en" w:eastAsia="en-US"/>
        </w:rPr>
        <w:t>For the majority of roles in Natural Resources Wales we will only undertake basic disclosure checks</w:t>
      </w:r>
      <w:r w:rsidRPr="00961511">
        <w:rPr>
          <w:vertAlign w:val="superscript"/>
          <w:lang w:val="en" w:eastAsia="en-US"/>
        </w:rPr>
        <w:footnoteReference w:id="1"/>
      </w:r>
      <w:r w:rsidRPr="00961511">
        <w:rPr>
          <w:lang w:val="en" w:eastAsia="en-US"/>
        </w:rPr>
        <w:t>.  This means only “unspent convictions”</w:t>
      </w:r>
      <w:r w:rsidRPr="00961511">
        <w:rPr>
          <w:vertAlign w:val="superscript"/>
          <w:lang w:val="en" w:eastAsia="en-US"/>
        </w:rPr>
        <w:footnoteReference w:id="2"/>
      </w:r>
      <w:r w:rsidRPr="00961511">
        <w:rPr>
          <w:lang w:val="en" w:eastAsia="en-US"/>
        </w:rPr>
        <w:t xml:space="preserve"> will be considered</w:t>
      </w:r>
      <w:r w:rsidRPr="00961511">
        <w:rPr>
          <w:vertAlign w:val="superscript"/>
          <w:lang w:val="en" w:eastAsia="en-US"/>
        </w:rPr>
        <w:footnoteReference w:id="3"/>
      </w:r>
      <w:r w:rsidRPr="00961511">
        <w:rPr>
          <w:lang w:val="en" w:eastAsia="en-US"/>
        </w:rPr>
        <w:t xml:space="preserve">.   The candidate is asked to provide details of any “unspent convictions” on the Character Enquiry form.  </w:t>
      </w:r>
    </w:p>
    <w:p w14:paraId="240784D2" w14:textId="77777777" w:rsidR="006E00AF" w:rsidRPr="00961511" w:rsidRDefault="006E00AF" w:rsidP="006E00AF">
      <w:pPr>
        <w:pStyle w:val="BodyText"/>
        <w:rPr>
          <w:lang w:val="en" w:eastAsia="en-US"/>
        </w:rPr>
      </w:pPr>
      <w:r w:rsidRPr="00961511">
        <w:rPr>
          <w:lang w:val="en" w:eastAsia="en-US"/>
        </w:rPr>
        <w:t>However, for some positions we are entitled to ask questions about an individual's entire criminal record.  This is called an enhanced disclosure and these will only be undertaken where it is relevant to the particular role.   When an enhanced disclosure is necessary, all recruitment information will state that we will request an enhanced disclosure in the event of the position being offered.</w:t>
      </w:r>
    </w:p>
    <w:p w14:paraId="5D98D55A" w14:textId="77777777" w:rsidR="006E00AF" w:rsidRPr="00961511" w:rsidRDefault="006E00AF" w:rsidP="006E00AF">
      <w:pPr>
        <w:pStyle w:val="BodyText"/>
        <w:rPr>
          <w:lang w:val="en" w:eastAsia="en-US"/>
        </w:rPr>
      </w:pPr>
      <w:r w:rsidRPr="00961511">
        <w:rPr>
          <w:lang w:val="en" w:eastAsia="en-US"/>
        </w:rPr>
        <w:t>A disclosure forms part of the recruitment process, we will therefore encourage all applicants selected for interview to provide details of any criminal record at an early stage in the application process.  We ask that this information be sent under confidential cover and we guarantee that this information will only be seen by those who need to see it as part of the recruitment process.</w:t>
      </w:r>
    </w:p>
    <w:p w14:paraId="1D5FEA49" w14:textId="77777777" w:rsidR="006E00AF" w:rsidRPr="00961511" w:rsidRDefault="006E00AF" w:rsidP="006E00AF">
      <w:pPr>
        <w:pStyle w:val="BodyText"/>
        <w:rPr>
          <w:lang w:val="en" w:eastAsia="en-US"/>
        </w:rPr>
      </w:pPr>
      <w:r w:rsidRPr="00961511">
        <w:rPr>
          <w:lang w:val="en" w:eastAsia="en-US"/>
        </w:rPr>
        <w:t>We will discuss any offences or other matters that might be considered relevant to the position concerned with the applicant at interview or at a separate discussion.  Failure of the applicant to disclose relevant information may result in withdrawal of an offer of employment and/or termination of employment.</w:t>
      </w:r>
    </w:p>
    <w:p w14:paraId="6ADDFB60" w14:textId="77777777" w:rsidR="006E00AF" w:rsidRPr="00961511" w:rsidRDefault="006E00AF" w:rsidP="006E00AF">
      <w:pPr>
        <w:pStyle w:val="BodyText"/>
        <w:rPr>
          <w:lang w:eastAsia="en-US"/>
        </w:rPr>
      </w:pPr>
      <w:r w:rsidRPr="00961511">
        <w:rPr>
          <w:lang w:eastAsia="en-US"/>
        </w:rPr>
        <w:t>The existence of a criminal record does not mean that employment will not be offered.  The decision will be based on the following criteria:</w:t>
      </w:r>
    </w:p>
    <w:p w14:paraId="129EAE6A" w14:textId="77777777" w:rsidR="006E00AF" w:rsidRPr="00961511" w:rsidRDefault="006E00AF" w:rsidP="006E00AF">
      <w:pPr>
        <w:pStyle w:val="Bullets"/>
        <w:rPr>
          <w:lang w:eastAsia="en-US"/>
        </w:rPr>
      </w:pPr>
      <w:r w:rsidRPr="00961511">
        <w:rPr>
          <w:lang w:eastAsia="en-US"/>
        </w:rPr>
        <w:t>How serious the offence was;</w:t>
      </w:r>
    </w:p>
    <w:p w14:paraId="6C95D6D9" w14:textId="77777777" w:rsidR="006E00AF" w:rsidRPr="00961511" w:rsidRDefault="006E00AF" w:rsidP="006E00AF">
      <w:pPr>
        <w:pStyle w:val="Bullets"/>
        <w:rPr>
          <w:lang w:eastAsia="en-US"/>
        </w:rPr>
      </w:pPr>
      <w:r w:rsidRPr="00961511">
        <w:rPr>
          <w:lang w:eastAsia="en-US"/>
        </w:rPr>
        <w:t>How recently it was committed;</w:t>
      </w:r>
    </w:p>
    <w:p w14:paraId="4B602177" w14:textId="77777777" w:rsidR="006E00AF" w:rsidRPr="00961511" w:rsidRDefault="006E00AF" w:rsidP="006E00AF">
      <w:pPr>
        <w:pStyle w:val="Bullets"/>
        <w:rPr>
          <w:lang w:eastAsia="en-US"/>
        </w:rPr>
      </w:pPr>
      <w:r w:rsidRPr="00961511">
        <w:rPr>
          <w:lang w:eastAsia="en-US"/>
        </w:rPr>
        <w:t>The age of the applicant at the time of the offence to determine whether it was an act of immaturity;</w:t>
      </w:r>
    </w:p>
    <w:p w14:paraId="41F0BBF4" w14:textId="77777777" w:rsidR="006E00AF" w:rsidRPr="00961511" w:rsidRDefault="006E00AF" w:rsidP="006E00AF">
      <w:pPr>
        <w:pStyle w:val="Bullets"/>
        <w:rPr>
          <w:lang w:eastAsia="en-US"/>
        </w:rPr>
      </w:pPr>
      <w:r w:rsidRPr="00961511">
        <w:rPr>
          <w:lang w:eastAsia="en-US"/>
        </w:rPr>
        <w:t xml:space="preserve">Whether it was an isolated incident or part of a series of offences; </w:t>
      </w:r>
    </w:p>
    <w:p w14:paraId="4B6764CB" w14:textId="77777777" w:rsidR="006E00AF" w:rsidRPr="00961511" w:rsidRDefault="006E00AF" w:rsidP="006E00AF">
      <w:pPr>
        <w:pStyle w:val="Bullets"/>
        <w:rPr>
          <w:lang w:val="en" w:eastAsia="en-US"/>
        </w:rPr>
      </w:pPr>
      <w:r w:rsidRPr="00961511">
        <w:rPr>
          <w:lang w:eastAsia="en-US"/>
        </w:rPr>
        <w:t>Any deliberate attempt to mislead.</w:t>
      </w:r>
    </w:p>
    <w:p w14:paraId="5892A1D3" w14:textId="77777777" w:rsidR="006E00AF" w:rsidRPr="00961511" w:rsidRDefault="006E00AF" w:rsidP="006E00AF">
      <w:pPr>
        <w:rPr>
          <w:rFonts w:cs="Arial"/>
          <w:lang w:val="en" w:eastAsia="en-US"/>
        </w:rPr>
      </w:pPr>
    </w:p>
    <w:p w14:paraId="0C5712F1" w14:textId="76AB6069" w:rsidR="006E00AF" w:rsidRDefault="006E00AF" w:rsidP="006E00AF">
      <w:pPr>
        <w:pStyle w:val="BodyText"/>
        <w:rPr>
          <w:lang w:val="en" w:eastAsia="en-US"/>
        </w:rPr>
      </w:pPr>
      <w:r w:rsidRPr="00961511">
        <w:rPr>
          <w:lang w:val="en" w:eastAsia="en-US"/>
        </w:rPr>
        <w:lastRenderedPageBreak/>
        <w:t>If you have any queries on this policy please contact People Services</w:t>
      </w:r>
      <w:r>
        <w:rPr>
          <w:lang w:val="en" w:eastAsia="en-US"/>
        </w:rPr>
        <w:t>.</w:t>
      </w:r>
    </w:p>
    <w:p w14:paraId="47BB474E" w14:textId="0B11B1CF" w:rsidR="006E00AF" w:rsidRDefault="006E00AF" w:rsidP="006E00AF">
      <w:pPr>
        <w:pStyle w:val="Heading2"/>
        <w:rPr>
          <w:lang w:val="en" w:eastAsia="en-US"/>
        </w:rPr>
      </w:pPr>
      <w:r>
        <w:rPr>
          <w:lang w:val="en" w:eastAsia="en-US"/>
        </w:rPr>
        <w:t>Relevant Rehabilitation Periods</w:t>
      </w:r>
    </w:p>
    <w:tbl>
      <w:tblPr>
        <w:tblStyle w:val="TableGrid"/>
        <w:tblW w:w="0" w:type="auto"/>
        <w:tblLook w:val="04A0" w:firstRow="1" w:lastRow="0" w:firstColumn="1" w:lastColumn="0" w:noHBand="0" w:noVBand="1"/>
      </w:tblPr>
      <w:tblGrid>
        <w:gridCol w:w="4815"/>
        <w:gridCol w:w="2410"/>
        <w:gridCol w:w="2417"/>
      </w:tblGrid>
      <w:tr w:rsidR="006E00AF" w14:paraId="359F2234" w14:textId="77777777" w:rsidTr="006E00AF">
        <w:tc>
          <w:tcPr>
            <w:tcW w:w="4815" w:type="dxa"/>
          </w:tcPr>
          <w:p w14:paraId="4C7F5D4E" w14:textId="280FCCF2" w:rsidR="006E00AF" w:rsidRDefault="006E00AF" w:rsidP="006E00AF">
            <w:pPr>
              <w:pStyle w:val="BodyText"/>
              <w:rPr>
                <w:lang w:val="en" w:eastAsia="en-US"/>
              </w:rPr>
            </w:pPr>
          </w:p>
        </w:tc>
        <w:tc>
          <w:tcPr>
            <w:tcW w:w="4827" w:type="dxa"/>
            <w:gridSpan w:val="2"/>
          </w:tcPr>
          <w:p w14:paraId="10B2C794" w14:textId="37D2E03F" w:rsidR="006E00AF" w:rsidRDefault="006E00AF" w:rsidP="006E00AF">
            <w:pPr>
              <w:pStyle w:val="BodyText"/>
              <w:jc w:val="center"/>
              <w:rPr>
                <w:lang w:val="en" w:eastAsia="en-US"/>
              </w:rPr>
            </w:pPr>
            <w:r>
              <w:rPr>
                <w:lang w:val="en" w:eastAsia="en-US"/>
              </w:rPr>
              <w:t>Rehabilitation Period</w:t>
            </w:r>
          </w:p>
        </w:tc>
      </w:tr>
      <w:tr w:rsidR="006E00AF" w14:paraId="70A3A404" w14:textId="77777777" w:rsidTr="006E00AF">
        <w:tc>
          <w:tcPr>
            <w:tcW w:w="4815" w:type="dxa"/>
          </w:tcPr>
          <w:p w14:paraId="34EFE987" w14:textId="1036F98A" w:rsidR="006E00AF" w:rsidRDefault="006E00AF" w:rsidP="006E00AF">
            <w:pPr>
              <w:pStyle w:val="BodyText"/>
              <w:rPr>
                <w:lang w:val="en" w:eastAsia="en-US"/>
              </w:rPr>
            </w:pPr>
            <w:r>
              <w:rPr>
                <w:lang w:val="en" w:eastAsia="en-US"/>
              </w:rPr>
              <w:t>Sentence</w:t>
            </w:r>
          </w:p>
        </w:tc>
        <w:tc>
          <w:tcPr>
            <w:tcW w:w="2410" w:type="dxa"/>
          </w:tcPr>
          <w:p w14:paraId="72DEA234" w14:textId="01362108" w:rsidR="006E00AF" w:rsidRDefault="006E00AF" w:rsidP="006E00AF">
            <w:pPr>
              <w:pStyle w:val="BodyText"/>
              <w:rPr>
                <w:lang w:val="en" w:eastAsia="en-US"/>
              </w:rPr>
            </w:pPr>
            <w:r>
              <w:rPr>
                <w:lang w:val="en" w:eastAsia="en-US"/>
              </w:rPr>
              <w:t>People aged 17 or under when convicted</w:t>
            </w:r>
          </w:p>
        </w:tc>
        <w:tc>
          <w:tcPr>
            <w:tcW w:w="2417" w:type="dxa"/>
          </w:tcPr>
          <w:p w14:paraId="62018DA3" w14:textId="149DDD77" w:rsidR="006E00AF" w:rsidRDefault="006E00AF" w:rsidP="006E00AF">
            <w:pPr>
              <w:pStyle w:val="BodyText"/>
              <w:rPr>
                <w:lang w:val="en" w:eastAsia="en-US"/>
              </w:rPr>
            </w:pPr>
            <w:r>
              <w:rPr>
                <w:lang w:val="en" w:eastAsia="en-US"/>
              </w:rPr>
              <w:t>People aged 18 or over when convicted</w:t>
            </w:r>
          </w:p>
        </w:tc>
      </w:tr>
      <w:tr w:rsidR="006E00AF" w14:paraId="4C94A719" w14:textId="77777777" w:rsidTr="006E00AF">
        <w:tc>
          <w:tcPr>
            <w:tcW w:w="4815" w:type="dxa"/>
          </w:tcPr>
          <w:p w14:paraId="11A6C9C5" w14:textId="21C240A9" w:rsidR="006E00AF" w:rsidRDefault="006E00AF" w:rsidP="006E00AF">
            <w:pPr>
              <w:pStyle w:val="BodyText"/>
              <w:rPr>
                <w:lang w:val="en" w:eastAsia="en-US"/>
              </w:rPr>
            </w:pPr>
            <w:r w:rsidRPr="00961511">
              <w:rPr>
                <w:rFonts w:cs="Arial"/>
                <w:lang w:eastAsia="en-US"/>
              </w:rPr>
              <w:t>Prison sentences</w:t>
            </w:r>
            <w:r w:rsidRPr="00961511">
              <w:rPr>
                <w:rFonts w:cs="Arial"/>
                <w:vertAlign w:val="superscript"/>
                <w:lang w:eastAsia="en-US"/>
              </w:rPr>
              <w:t>1</w:t>
            </w:r>
            <w:r w:rsidRPr="00961511">
              <w:rPr>
                <w:rFonts w:cs="Arial"/>
                <w:lang w:eastAsia="en-US"/>
              </w:rPr>
              <w:t xml:space="preserve"> of 6 months or less</w:t>
            </w:r>
          </w:p>
        </w:tc>
        <w:tc>
          <w:tcPr>
            <w:tcW w:w="2410" w:type="dxa"/>
          </w:tcPr>
          <w:p w14:paraId="46975233" w14:textId="78765D9F" w:rsidR="006E00AF" w:rsidRDefault="006E00AF" w:rsidP="006E00AF">
            <w:pPr>
              <w:pStyle w:val="BodyText"/>
              <w:rPr>
                <w:lang w:val="en" w:eastAsia="en-US"/>
              </w:rPr>
            </w:pPr>
            <w:r>
              <w:rPr>
                <w:lang w:val="en" w:eastAsia="en-US"/>
              </w:rPr>
              <w:t>3 ½ years</w:t>
            </w:r>
          </w:p>
        </w:tc>
        <w:tc>
          <w:tcPr>
            <w:tcW w:w="2417" w:type="dxa"/>
          </w:tcPr>
          <w:p w14:paraId="36393AE1" w14:textId="6FF288F5" w:rsidR="006E00AF" w:rsidRDefault="006E00AF" w:rsidP="006E00AF">
            <w:pPr>
              <w:pStyle w:val="BodyText"/>
              <w:rPr>
                <w:lang w:val="en" w:eastAsia="en-US"/>
              </w:rPr>
            </w:pPr>
            <w:r>
              <w:rPr>
                <w:lang w:val="en" w:eastAsia="en-US"/>
              </w:rPr>
              <w:t>7 years</w:t>
            </w:r>
          </w:p>
        </w:tc>
      </w:tr>
      <w:tr w:rsidR="006E00AF" w14:paraId="70D42F1A" w14:textId="77777777" w:rsidTr="006E00AF">
        <w:tc>
          <w:tcPr>
            <w:tcW w:w="4815" w:type="dxa"/>
          </w:tcPr>
          <w:p w14:paraId="69739FB7" w14:textId="4A2C0EB4" w:rsidR="006E00AF" w:rsidRDefault="006E00AF" w:rsidP="006E00AF">
            <w:pPr>
              <w:pStyle w:val="BodyText"/>
              <w:rPr>
                <w:lang w:val="en" w:eastAsia="en-US"/>
              </w:rPr>
            </w:pPr>
            <w:r>
              <w:rPr>
                <w:lang w:val="en" w:eastAsia="en-US"/>
              </w:rPr>
              <w:t>Prison sentences of more than 6 months to 2 ½ years</w:t>
            </w:r>
          </w:p>
        </w:tc>
        <w:tc>
          <w:tcPr>
            <w:tcW w:w="2410" w:type="dxa"/>
          </w:tcPr>
          <w:p w14:paraId="13C331DC" w14:textId="173CFEBD" w:rsidR="006E00AF" w:rsidRDefault="006E00AF" w:rsidP="006E00AF">
            <w:pPr>
              <w:pStyle w:val="BodyText"/>
              <w:rPr>
                <w:lang w:val="en" w:eastAsia="en-US"/>
              </w:rPr>
            </w:pPr>
            <w:r>
              <w:rPr>
                <w:lang w:val="en" w:eastAsia="en-US"/>
              </w:rPr>
              <w:t>5 years</w:t>
            </w:r>
          </w:p>
        </w:tc>
        <w:tc>
          <w:tcPr>
            <w:tcW w:w="2417" w:type="dxa"/>
          </w:tcPr>
          <w:p w14:paraId="425C7A7F" w14:textId="1A0548FE" w:rsidR="006E00AF" w:rsidRDefault="006E00AF" w:rsidP="006E00AF">
            <w:pPr>
              <w:pStyle w:val="BodyText"/>
              <w:rPr>
                <w:lang w:val="en" w:eastAsia="en-US"/>
              </w:rPr>
            </w:pPr>
            <w:r>
              <w:rPr>
                <w:lang w:val="en" w:eastAsia="en-US"/>
              </w:rPr>
              <w:t>10 years</w:t>
            </w:r>
          </w:p>
        </w:tc>
      </w:tr>
      <w:tr w:rsidR="006E00AF" w14:paraId="7ACBDA81" w14:textId="77777777" w:rsidTr="006E00AF">
        <w:tc>
          <w:tcPr>
            <w:tcW w:w="4815" w:type="dxa"/>
          </w:tcPr>
          <w:p w14:paraId="47C636C6" w14:textId="798A7AED" w:rsidR="006E00AF" w:rsidRDefault="006E00AF" w:rsidP="006E00AF">
            <w:pPr>
              <w:pStyle w:val="BodyText"/>
              <w:rPr>
                <w:lang w:val="en" w:eastAsia="en-US"/>
              </w:rPr>
            </w:pPr>
            <w:proofErr w:type="spellStart"/>
            <w:r>
              <w:rPr>
                <w:lang w:val="en" w:eastAsia="en-US"/>
              </w:rPr>
              <w:t>Borstal</w:t>
            </w:r>
            <w:proofErr w:type="spellEnd"/>
            <w:r>
              <w:rPr>
                <w:lang w:val="en" w:eastAsia="en-US"/>
              </w:rPr>
              <w:t xml:space="preserve"> (abolished in 1983)</w:t>
            </w:r>
          </w:p>
        </w:tc>
        <w:tc>
          <w:tcPr>
            <w:tcW w:w="2410" w:type="dxa"/>
          </w:tcPr>
          <w:p w14:paraId="1A302B57" w14:textId="509ABDDF" w:rsidR="006E00AF" w:rsidRDefault="006E00AF" w:rsidP="006E00AF">
            <w:pPr>
              <w:pStyle w:val="BodyText"/>
              <w:rPr>
                <w:lang w:val="en" w:eastAsia="en-US"/>
              </w:rPr>
            </w:pPr>
            <w:r>
              <w:rPr>
                <w:lang w:val="en" w:eastAsia="en-US"/>
              </w:rPr>
              <w:t>7 years</w:t>
            </w:r>
          </w:p>
        </w:tc>
        <w:tc>
          <w:tcPr>
            <w:tcW w:w="2417" w:type="dxa"/>
          </w:tcPr>
          <w:p w14:paraId="44FB612D" w14:textId="5B7303E1" w:rsidR="006E00AF" w:rsidRDefault="006E00AF" w:rsidP="006E00AF">
            <w:pPr>
              <w:pStyle w:val="BodyText"/>
              <w:rPr>
                <w:lang w:val="en" w:eastAsia="en-US"/>
              </w:rPr>
            </w:pPr>
            <w:r>
              <w:rPr>
                <w:lang w:val="en" w:eastAsia="en-US"/>
              </w:rPr>
              <w:t>7 years</w:t>
            </w:r>
          </w:p>
        </w:tc>
      </w:tr>
      <w:tr w:rsidR="006E00AF" w14:paraId="4B0AF792" w14:textId="77777777" w:rsidTr="006E00AF">
        <w:tc>
          <w:tcPr>
            <w:tcW w:w="4815" w:type="dxa"/>
          </w:tcPr>
          <w:p w14:paraId="3BD28A29" w14:textId="7EC88349" w:rsidR="006E00AF" w:rsidRDefault="006E00AF" w:rsidP="006E00AF">
            <w:pPr>
              <w:pStyle w:val="BodyText"/>
              <w:rPr>
                <w:lang w:val="en" w:eastAsia="en-US"/>
              </w:rPr>
            </w:pPr>
            <w:r>
              <w:rPr>
                <w:lang w:val="en" w:eastAsia="en-US"/>
              </w:rPr>
              <w:t xml:space="preserve">Detention </w:t>
            </w:r>
            <w:proofErr w:type="spellStart"/>
            <w:r>
              <w:rPr>
                <w:lang w:val="en" w:eastAsia="en-US"/>
              </w:rPr>
              <w:t>centres</w:t>
            </w:r>
            <w:proofErr w:type="spellEnd"/>
            <w:r>
              <w:rPr>
                <w:lang w:val="en" w:eastAsia="en-US"/>
              </w:rPr>
              <w:t xml:space="preserve"> (abolished in 1988)</w:t>
            </w:r>
          </w:p>
        </w:tc>
        <w:tc>
          <w:tcPr>
            <w:tcW w:w="2410" w:type="dxa"/>
          </w:tcPr>
          <w:p w14:paraId="170B1665" w14:textId="6D619342" w:rsidR="006E00AF" w:rsidRDefault="006E00AF" w:rsidP="006E00AF">
            <w:pPr>
              <w:pStyle w:val="BodyText"/>
              <w:rPr>
                <w:lang w:val="en" w:eastAsia="en-US"/>
              </w:rPr>
            </w:pPr>
            <w:r>
              <w:rPr>
                <w:lang w:val="en" w:eastAsia="en-US"/>
              </w:rPr>
              <w:t>3 years</w:t>
            </w:r>
          </w:p>
        </w:tc>
        <w:tc>
          <w:tcPr>
            <w:tcW w:w="2417" w:type="dxa"/>
          </w:tcPr>
          <w:p w14:paraId="1F66EFD1" w14:textId="535B4209" w:rsidR="006E00AF" w:rsidRDefault="006E00AF" w:rsidP="006E00AF">
            <w:pPr>
              <w:pStyle w:val="BodyText"/>
              <w:rPr>
                <w:lang w:val="en" w:eastAsia="en-US"/>
              </w:rPr>
            </w:pPr>
            <w:r>
              <w:rPr>
                <w:lang w:val="en" w:eastAsia="en-US"/>
              </w:rPr>
              <w:t>3 years</w:t>
            </w:r>
          </w:p>
        </w:tc>
      </w:tr>
      <w:tr w:rsidR="006E00AF" w14:paraId="073CE1B8" w14:textId="77777777" w:rsidTr="006E00AF">
        <w:tc>
          <w:tcPr>
            <w:tcW w:w="4815" w:type="dxa"/>
          </w:tcPr>
          <w:p w14:paraId="1081DE71" w14:textId="2027985B" w:rsidR="006E00AF" w:rsidRDefault="006E00AF" w:rsidP="006E00AF">
            <w:pPr>
              <w:pStyle w:val="BodyText"/>
              <w:rPr>
                <w:lang w:val="en" w:eastAsia="en-US"/>
              </w:rPr>
            </w:pPr>
            <w:r w:rsidRPr="00961511">
              <w:rPr>
                <w:rFonts w:cs="Arial"/>
                <w:lang w:eastAsia="en-US"/>
              </w:rPr>
              <w:t>Fines</w:t>
            </w:r>
            <w:r w:rsidRPr="00961511">
              <w:rPr>
                <w:rFonts w:cs="Arial"/>
                <w:vertAlign w:val="superscript"/>
                <w:lang w:eastAsia="en-US"/>
              </w:rPr>
              <w:t>2</w:t>
            </w:r>
            <w:r w:rsidRPr="00961511">
              <w:rPr>
                <w:rFonts w:cs="Arial"/>
                <w:lang w:eastAsia="en-US"/>
              </w:rPr>
              <w:t>, compensation, probation</w:t>
            </w:r>
            <w:r w:rsidRPr="00961511">
              <w:rPr>
                <w:rFonts w:cs="Arial"/>
                <w:vertAlign w:val="superscript"/>
                <w:lang w:eastAsia="en-US"/>
              </w:rPr>
              <w:t>3</w:t>
            </w:r>
            <w:r w:rsidRPr="00961511">
              <w:rPr>
                <w:rFonts w:cs="Arial"/>
                <w:lang w:eastAsia="en-US"/>
              </w:rPr>
              <w:t>, community service</w:t>
            </w:r>
            <w:r w:rsidRPr="00961511">
              <w:rPr>
                <w:rFonts w:cs="Arial"/>
                <w:vertAlign w:val="superscript"/>
                <w:lang w:eastAsia="en-US"/>
              </w:rPr>
              <w:t>4</w:t>
            </w:r>
            <w:r w:rsidRPr="00961511">
              <w:rPr>
                <w:rFonts w:cs="Arial"/>
                <w:lang w:eastAsia="en-US"/>
              </w:rPr>
              <w:t>, combination</w:t>
            </w:r>
            <w:r w:rsidRPr="00961511">
              <w:rPr>
                <w:rFonts w:cs="Arial"/>
                <w:vertAlign w:val="superscript"/>
                <w:lang w:eastAsia="en-US"/>
              </w:rPr>
              <w:t>5</w:t>
            </w:r>
            <w:r w:rsidRPr="00961511">
              <w:rPr>
                <w:rFonts w:cs="Arial"/>
                <w:lang w:eastAsia="en-US"/>
              </w:rPr>
              <w:t>, action plan, drug treatment and testing, and reparation orders</w:t>
            </w:r>
          </w:p>
        </w:tc>
        <w:tc>
          <w:tcPr>
            <w:tcW w:w="2410" w:type="dxa"/>
          </w:tcPr>
          <w:p w14:paraId="613F4B5F" w14:textId="5DBB630A" w:rsidR="006E00AF" w:rsidRDefault="006E00AF" w:rsidP="006E00AF">
            <w:pPr>
              <w:pStyle w:val="BodyText"/>
              <w:rPr>
                <w:lang w:val="en" w:eastAsia="en-US"/>
              </w:rPr>
            </w:pPr>
            <w:r>
              <w:rPr>
                <w:lang w:val="en" w:eastAsia="en-US"/>
              </w:rPr>
              <w:t>2 ½ years</w:t>
            </w:r>
          </w:p>
        </w:tc>
        <w:tc>
          <w:tcPr>
            <w:tcW w:w="2417" w:type="dxa"/>
          </w:tcPr>
          <w:p w14:paraId="543B6FCD" w14:textId="78D36766" w:rsidR="006E00AF" w:rsidRDefault="006E00AF" w:rsidP="006E00AF">
            <w:pPr>
              <w:pStyle w:val="BodyText"/>
              <w:rPr>
                <w:lang w:val="en" w:eastAsia="en-US"/>
              </w:rPr>
            </w:pPr>
            <w:r>
              <w:rPr>
                <w:lang w:val="en" w:eastAsia="en-US"/>
              </w:rPr>
              <w:t>5 years</w:t>
            </w:r>
          </w:p>
        </w:tc>
      </w:tr>
      <w:tr w:rsidR="006E00AF" w14:paraId="55F07135" w14:textId="77777777" w:rsidTr="006E00AF">
        <w:tc>
          <w:tcPr>
            <w:tcW w:w="4815" w:type="dxa"/>
          </w:tcPr>
          <w:p w14:paraId="5A1B1F8B" w14:textId="0433D566" w:rsidR="006E00AF" w:rsidRPr="00961511" w:rsidRDefault="006E00AF" w:rsidP="006E00AF">
            <w:pPr>
              <w:pStyle w:val="BodyText"/>
              <w:rPr>
                <w:rFonts w:cs="Arial"/>
                <w:lang w:eastAsia="en-US"/>
              </w:rPr>
            </w:pPr>
            <w:r>
              <w:rPr>
                <w:rFonts w:cs="Arial"/>
                <w:lang w:eastAsia="en-US"/>
              </w:rPr>
              <w:t>Absolute Discharge</w:t>
            </w:r>
          </w:p>
        </w:tc>
        <w:tc>
          <w:tcPr>
            <w:tcW w:w="2410" w:type="dxa"/>
          </w:tcPr>
          <w:p w14:paraId="5D960A23" w14:textId="538E670C" w:rsidR="006E00AF" w:rsidRDefault="006E00AF" w:rsidP="006E00AF">
            <w:pPr>
              <w:pStyle w:val="BodyText"/>
              <w:rPr>
                <w:lang w:val="en" w:eastAsia="en-US"/>
              </w:rPr>
            </w:pPr>
            <w:r>
              <w:rPr>
                <w:lang w:val="en" w:eastAsia="en-US"/>
              </w:rPr>
              <w:t>6 months</w:t>
            </w:r>
          </w:p>
        </w:tc>
        <w:tc>
          <w:tcPr>
            <w:tcW w:w="2417" w:type="dxa"/>
          </w:tcPr>
          <w:p w14:paraId="600FB71B" w14:textId="19140BA8" w:rsidR="006E00AF" w:rsidRDefault="006E00AF" w:rsidP="006E00AF">
            <w:pPr>
              <w:pStyle w:val="BodyText"/>
              <w:rPr>
                <w:lang w:val="en" w:eastAsia="en-US"/>
              </w:rPr>
            </w:pPr>
            <w:r>
              <w:rPr>
                <w:lang w:val="en" w:eastAsia="en-US"/>
              </w:rPr>
              <w:t>6 months</w:t>
            </w:r>
          </w:p>
        </w:tc>
      </w:tr>
    </w:tbl>
    <w:p w14:paraId="2FA495A7" w14:textId="77777777" w:rsidR="006E00AF" w:rsidRPr="00961511" w:rsidRDefault="006E00AF" w:rsidP="006E00AF">
      <w:pPr>
        <w:ind w:left="720" w:hanging="720"/>
        <w:rPr>
          <w:rFonts w:cs="Arial"/>
          <w:sz w:val="20"/>
          <w:szCs w:val="20"/>
          <w:lang w:eastAsia="en-US"/>
        </w:rPr>
      </w:pPr>
      <w:r w:rsidRPr="00961511">
        <w:rPr>
          <w:rFonts w:cs="Arial"/>
          <w:sz w:val="20"/>
          <w:szCs w:val="20"/>
          <w:lang w:eastAsia="en-US"/>
        </w:rPr>
        <w:t>Table Footnotes:</w:t>
      </w:r>
    </w:p>
    <w:p w14:paraId="580DFAB0" w14:textId="77777777" w:rsidR="006E00AF" w:rsidRPr="00961511" w:rsidRDefault="006E00AF" w:rsidP="006E00AF">
      <w:pPr>
        <w:ind w:left="720" w:hanging="720"/>
        <w:rPr>
          <w:rFonts w:cs="Arial"/>
          <w:sz w:val="20"/>
          <w:szCs w:val="20"/>
          <w:lang w:eastAsia="en-US"/>
        </w:rPr>
      </w:pPr>
      <w:r w:rsidRPr="00961511">
        <w:rPr>
          <w:rFonts w:cs="Arial"/>
          <w:sz w:val="20"/>
          <w:szCs w:val="20"/>
          <w:lang w:eastAsia="en-US"/>
        </w:rPr>
        <w:t>1 Including suspended sentences youth custody (abolished 1988) and detention in a young offender institution (abolished for those under 18 in 2000 and for those aged 19-20 in 2001)</w:t>
      </w:r>
    </w:p>
    <w:p w14:paraId="2B5715AB" w14:textId="77777777" w:rsidR="006E00AF" w:rsidRPr="00961511" w:rsidRDefault="006E00AF" w:rsidP="006E00AF">
      <w:pPr>
        <w:ind w:left="720" w:hanging="720"/>
        <w:rPr>
          <w:rFonts w:cs="Arial"/>
          <w:sz w:val="20"/>
          <w:szCs w:val="20"/>
          <w:lang w:eastAsia="en-US"/>
        </w:rPr>
      </w:pPr>
      <w:r w:rsidRPr="00961511">
        <w:rPr>
          <w:rFonts w:cs="Arial"/>
          <w:sz w:val="20"/>
          <w:szCs w:val="20"/>
          <w:lang w:eastAsia="en-US"/>
        </w:rPr>
        <w:t>2 Even if subsequently imprisoned for fine default</w:t>
      </w:r>
    </w:p>
    <w:p w14:paraId="46E711E5" w14:textId="77777777" w:rsidR="006E00AF" w:rsidRPr="00961511" w:rsidRDefault="006E00AF" w:rsidP="006E00AF">
      <w:pPr>
        <w:ind w:left="720" w:hanging="720"/>
        <w:rPr>
          <w:rFonts w:cs="Arial"/>
          <w:sz w:val="20"/>
          <w:szCs w:val="20"/>
          <w:lang w:eastAsia="en-US"/>
        </w:rPr>
      </w:pPr>
      <w:r w:rsidRPr="00961511">
        <w:rPr>
          <w:rFonts w:cs="Arial"/>
          <w:sz w:val="20"/>
          <w:szCs w:val="20"/>
          <w:lang w:eastAsia="en-US"/>
        </w:rPr>
        <w:t>3 People convicted on or after 3 February 1995. These orders are now called community rehabilitation orders</w:t>
      </w:r>
    </w:p>
    <w:p w14:paraId="29A650B0" w14:textId="77777777" w:rsidR="006E00AF" w:rsidRPr="00961511" w:rsidRDefault="006E00AF" w:rsidP="006E00AF">
      <w:pPr>
        <w:ind w:left="720" w:hanging="720"/>
        <w:rPr>
          <w:rFonts w:cs="Arial"/>
          <w:sz w:val="20"/>
          <w:szCs w:val="20"/>
          <w:lang w:eastAsia="en-US"/>
        </w:rPr>
      </w:pPr>
      <w:r w:rsidRPr="00961511">
        <w:rPr>
          <w:rFonts w:cs="Arial"/>
          <w:sz w:val="20"/>
          <w:szCs w:val="20"/>
          <w:lang w:eastAsia="en-US"/>
        </w:rPr>
        <w:t>4 These orders are now called community punishment orders</w:t>
      </w:r>
    </w:p>
    <w:p w14:paraId="6C724940" w14:textId="77777777" w:rsidR="006E00AF" w:rsidRPr="00961511" w:rsidRDefault="006E00AF" w:rsidP="006E00AF">
      <w:pPr>
        <w:ind w:left="720" w:hanging="720"/>
        <w:rPr>
          <w:rFonts w:cs="Arial"/>
          <w:sz w:val="20"/>
          <w:szCs w:val="20"/>
          <w:lang w:eastAsia="en-US"/>
        </w:rPr>
      </w:pPr>
      <w:r w:rsidRPr="00961511">
        <w:rPr>
          <w:rFonts w:cs="Arial"/>
          <w:sz w:val="20"/>
          <w:szCs w:val="20"/>
          <w:lang w:eastAsia="en-US"/>
        </w:rPr>
        <w:t>5 These orders are now called community punishment and rehabilitation orders</w:t>
      </w:r>
    </w:p>
    <w:p w14:paraId="279E9D9F" w14:textId="77777777" w:rsidR="006E00AF" w:rsidRPr="006E00AF" w:rsidRDefault="006E00AF" w:rsidP="006E00AF">
      <w:pPr>
        <w:pStyle w:val="BodyText"/>
        <w:rPr>
          <w:lang w:val="en" w:eastAsia="en-US"/>
        </w:rPr>
      </w:pPr>
    </w:p>
    <w:p w14:paraId="6981C75C" w14:textId="77777777" w:rsidR="006E00AF" w:rsidRPr="006E00AF" w:rsidRDefault="006E00AF" w:rsidP="006E00AF">
      <w:pPr>
        <w:pStyle w:val="BodyText"/>
      </w:pPr>
    </w:p>
    <w:sectPr w:rsidR="006E00AF" w:rsidRPr="006E00AF" w:rsidSect="00EF38E7">
      <w:headerReference w:type="default" r:id="rId13"/>
      <w:headerReference w:type="first" r:id="rId14"/>
      <w:footerReference w:type="first" r:id="rId15"/>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7CCF9" w14:textId="77777777" w:rsidR="00B41015" w:rsidRDefault="00B41015" w:rsidP="003B1B95">
      <w:r>
        <w:separator/>
      </w:r>
    </w:p>
  </w:endnote>
  <w:endnote w:type="continuationSeparator" w:id="0">
    <w:p w14:paraId="2325C990" w14:textId="77777777" w:rsidR="00B41015" w:rsidRDefault="00B41015"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9123D" w14:textId="097A9104" w:rsidR="00797D41" w:rsidRDefault="00797D41">
    <w:pPr>
      <w:pStyle w:val="Footer"/>
      <w:jc w:val="right"/>
    </w:pPr>
  </w:p>
  <w:p w14:paraId="7E415E83" w14:textId="77777777" w:rsidR="004353EF" w:rsidRDefault="00435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58BD6" w14:textId="77777777" w:rsidR="00B41015" w:rsidRDefault="00B41015" w:rsidP="003B1B95">
      <w:r>
        <w:separator/>
      </w:r>
    </w:p>
  </w:footnote>
  <w:footnote w:type="continuationSeparator" w:id="0">
    <w:p w14:paraId="69356DB1" w14:textId="77777777" w:rsidR="00B41015" w:rsidRDefault="00B41015" w:rsidP="003B1B95">
      <w:r>
        <w:continuationSeparator/>
      </w:r>
    </w:p>
  </w:footnote>
  <w:footnote w:id="1">
    <w:p w14:paraId="037E61A0" w14:textId="77777777" w:rsidR="006E00AF" w:rsidRDefault="006E00AF" w:rsidP="006E00AF">
      <w:pPr>
        <w:pStyle w:val="FootnoteText"/>
      </w:pPr>
      <w:r>
        <w:rPr>
          <w:rStyle w:val="FootnoteReference"/>
        </w:rPr>
        <w:footnoteRef/>
      </w:r>
      <w:r>
        <w:t xml:space="preserve"> T</w:t>
      </w:r>
      <w:r w:rsidRPr="00F10B08">
        <w:rPr>
          <w:lang w:val="en"/>
        </w:rPr>
        <w:t>he Rehabilitation of Offenders Act 1974 (ROA), allows Natural Resources Wales to ask about ’unspent’ convictions.</w:t>
      </w:r>
      <w:r w:rsidRPr="00F10B08">
        <w:t xml:space="preserve">  </w:t>
      </w:r>
    </w:p>
  </w:footnote>
  <w:footnote w:id="2">
    <w:p w14:paraId="2273E1D6" w14:textId="77777777" w:rsidR="006E00AF" w:rsidRDefault="006E00AF" w:rsidP="006E00AF">
      <w:pPr>
        <w:pStyle w:val="FootnoteText"/>
      </w:pPr>
      <w:r>
        <w:rPr>
          <w:rStyle w:val="FootnoteReference"/>
        </w:rPr>
        <w:footnoteRef/>
      </w:r>
      <w:r>
        <w:t xml:space="preserve"> </w:t>
      </w:r>
      <w:r w:rsidRPr="008332BD">
        <w:t>An unspent conviction is a conviction on a person’s record which hasn’t passed the time of the relevant rehabilitation period.</w:t>
      </w:r>
    </w:p>
  </w:footnote>
  <w:footnote w:id="3">
    <w:p w14:paraId="52AB96BF" w14:textId="77777777" w:rsidR="006E00AF" w:rsidRDefault="006E00AF" w:rsidP="006E00AF">
      <w:pPr>
        <w:pStyle w:val="FootnoteText"/>
      </w:pPr>
      <w:r>
        <w:rPr>
          <w:rStyle w:val="FootnoteReference"/>
        </w:rPr>
        <w:footnoteRef/>
      </w:r>
      <w:r>
        <w:t xml:space="preserve"> A Rehabilitation Period table has been included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7B772" w14:textId="77777777" w:rsidR="00881C67" w:rsidRDefault="00881C67" w:rsidP="00580178">
    <w:pPr>
      <w:pStyle w:val="Header"/>
    </w:pPr>
  </w:p>
  <w:p w14:paraId="7F37B773" w14:textId="77777777" w:rsidR="00881C67" w:rsidRDefault="00881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7B775" w14:textId="3E28A987" w:rsidR="00881C67" w:rsidRDefault="004F15CD" w:rsidP="00C55B14">
    <w:pPr>
      <w:pStyle w:val="Heading1"/>
    </w:pPr>
    <w:r>
      <w:rPr>
        <w:noProof/>
      </w:rPr>
      <w:drawing>
        <wp:inline distT="0" distB="0" distL="0" distR="0" wp14:anchorId="7F37B776" wp14:editId="7F37B777">
          <wp:extent cx="1357200" cy="961200"/>
          <wp:effectExtent l="0" t="0" r="0" b="0"/>
          <wp:docPr id="11" name="Picture 11" descr="nrw logo" title="n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t xml:space="preserve"> </w:t>
    </w:r>
    <w:r w:rsidR="00552D0B">
      <w:ptab w:relativeTo="margin" w:alignment="right" w:leader="none"/>
    </w:r>
    <w:r w:rsidR="006E00AF">
      <w:t>Vacancy Filling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2"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4"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6"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616B0090"/>
    <w:multiLevelType w:val="hybridMultilevel"/>
    <w:tmpl w:val="F13AE66A"/>
    <w:lvl w:ilvl="0" w:tplc="4CAE44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0"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6"/>
  </w:num>
  <w:num w:numId="8">
    <w:abstractNumId w:val="0"/>
  </w:num>
  <w:num w:numId="9">
    <w:abstractNumId w:val="0"/>
  </w:num>
  <w:num w:numId="10">
    <w:abstractNumId w:val="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6"/>
  </w:num>
  <w:num w:numId="12">
    <w:abstractNumId w:val="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6"/>
  </w:num>
  <w:num w:numId="14">
    <w:abstractNumId w:val="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6"/>
  </w:num>
  <w:num w:numId="16">
    <w:abstractNumId w:val="1"/>
  </w:num>
  <w:num w:numId="17">
    <w:abstractNumId w:val="8"/>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6145"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7"/>
    <w:rsid w:val="0003584B"/>
    <w:rsid w:val="0006469D"/>
    <w:rsid w:val="00081B13"/>
    <w:rsid w:val="000A3A29"/>
    <w:rsid w:val="000D1041"/>
    <w:rsid w:val="000D42BC"/>
    <w:rsid w:val="0010023A"/>
    <w:rsid w:val="00111C12"/>
    <w:rsid w:val="00124C2B"/>
    <w:rsid w:val="00163204"/>
    <w:rsid w:val="001E34B7"/>
    <w:rsid w:val="00227FCF"/>
    <w:rsid w:val="002310C5"/>
    <w:rsid w:val="0024550F"/>
    <w:rsid w:val="00255E0D"/>
    <w:rsid w:val="00295704"/>
    <w:rsid w:val="002A09B6"/>
    <w:rsid w:val="002B0FE6"/>
    <w:rsid w:val="002C1957"/>
    <w:rsid w:val="002C7D1B"/>
    <w:rsid w:val="002D1C88"/>
    <w:rsid w:val="002D1E23"/>
    <w:rsid w:val="00323656"/>
    <w:rsid w:val="00325394"/>
    <w:rsid w:val="00366E8B"/>
    <w:rsid w:val="00396E7E"/>
    <w:rsid w:val="003B1B95"/>
    <w:rsid w:val="003E31B8"/>
    <w:rsid w:val="00421C65"/>
    <w:rsid w:val="004353EF"/>
    <w:rsid w:val="00436A14"/>
    <w:rsid w:val="00491598"/>
    <w:rsid w:val="004A2C4D"/>
    <w:rsid w:val="004B55D4"/>
    <w:rsid w:val="004D606F"/>
    <w:rsid w:val="004E070B"/>
    <w:rsid w:val="004E21FB"/>
    <w:rsid w:val="004F15CD"/>
    <w:rsid w:val="00504C76"/>
    <w:rsid w:val="005118F5"/>
    <w:rsid w:val="0051775A"/>
    <w:rsid w:val="00552D0B"/>
    <w:rsid w:val="00580178"/>
    <w:rsid w:val="005A0D52"/>
    <w:rsid w:val="005B301B"/>
    <w:rsid w:val="005C5EE6"/>
    <w:rsid w:val="0066120C"/>
    <w:rsid w:val="00666BB5"/>
    <w:rsid w:val="006B620B"/>
    <w:rsid w:val="006D6756"/>
    <w:rsid w:val="006E00AF"/>
    <w:rsid w:val="006E1121"/>
    <w:rsid w:val="006E6741"/>
    <w:rsid w:val="006E7FA2"/>
    <w:rsid w:val="007402EF"/>
    <w:rsid w:val="0075201E"/>
    <w:rsid w:val="00773040"/>
    <w:rsid w:val="00780D50"/>
    <w:rsid w:val="00780E5E"/>
    <w:rsid w:val="00783CEA"/>
    <w:rsid w:val="00794C61"/>
    <w:rsid w:val="00797D41"/>
    <w:rsid w:val="007A78C9"/>
    <w:rsid w:val="007C7F2F"/>
    <w:rsid w:val="00820898"/>
    <w:rsid w:val="00832030"/>
    <w:rsid w:val="00842FC5"/>
    <w:rsid w:val="0085223F"/>
    <w:rsid w:val="00861D04"/>
    <w:rsid w:val="00881C67"/>
    <w:rsid w:val="008837A9"/>
    <w:rsid w:val="00897388"/>
    <w:rsid w:val="008A0F5F"/>
    <w:rsid w:val="008A56C7"/>
    <w:rsid w:val="008B07D7"/>
    <w:rsid w:val="008E6805"/>
    <w:rsid w:val="008F11CB"/>
    <w:rsid w:val="008F3426"/>
    <w:rsid w:val="0095246A"/>
    <w:rsid w:val="00967FB8"/>
    <w:rsid w:val="00977CDE"/>
    <w:rsid w:val="009A383A"/>
    <w:rsid w:val="009B37B8"/>
    <w:rsid w:val="00A36091"/>
    <w:rsid w:val="00A63022"/>
    <w:rsid w:val="00A64662"/>
    <w:rsid w:val="00A73E72"/>
    <w:rsid w:val="00A908E3"/>
    <w:rsid w:val="00AA54D9"/>
    <w:rsid w:val="00AB7169"/>
    <w:rsid w:val="00AE4565"/>
    <w:rsid w:val="00AF5EC2"/>
    <w:rsid w:val="00AF7309"/>
    <w:rsid w:val="00B02CD4"/>
    <w:rsid w:val="00B322A0"/>
    <w:rsid w:val="00B333DB"/>
    <w:rsid w:val="00B41015"/>
    <w:rsid w:val="00B527D6"/>
    <w:rsid w:val="00B56355"/>
    <w:rsid w:val="00B90A54"/>
    <w:rsid w:val="00BA4AE0"/>
    <w:rsid w:val="00BA56BA"/>
    <w:rsid w:val="00BD3375"/>
    <w:rsid w:val="00BF4F83"/>
    <w:rsid w:val="00C2002D"/>
    <w:rsid w:val="00C31E03"/>
    <w:rsid w:val="00C332A7"/>
    <w:rsid w:val="00C37E1F"/>
    <w:rsid w:val="00C44639"/>
    <w:rsid w:val="00C55B14"/>
    <w:rsid w:val="00C70646"/>
    <w:rsid w:val="00C84824"/>
    <w:rsid w:val="00CB0986"/>
    <w:rsid w:val="00CD0AA9"/>
    <w:rsid w:val="00CD4B48"/>
    <w:rsid w:val="00CE72E1"/>
    <w:rsid w:val="00CF5800"/>
    <w:rsid w:val="00D1147D"/>
    <w:rsid w:val="00D30CC0"/>
    <w:rsid w:val="00D4293C"/>
    <w:rsid w:val="00DA28F1"/>
    <w:rsid w:val="00E12968"/>
    <w:rsid w:val="00E3072A"/>
    <w:rsid w:val="00E963AA"/>
    <w:rsid w:val="00EA1E4A"/>
    <w:rsid w:val="00EA1F90"/>
    <w:rsid w:val="00EA5293"/>
    <w:rsid w:val="00EB4078"/>
    <w:rsid w:val="00EE6FB7"/>
    <w:rsid w:val="00EF38E7"/>
    <w:rsid w:val="00F4177D"/>
    <w:rsid w:val="00F63843"/>
    <w:rsid w:val="00F64E34"/>
    <w:rsid w:val="00FB70DB"/>
    <w:rsid w:val="00FC39DE"/>
    <w:rsid w:val="00FD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rokecolor="#0091a5">
      <v:stroke color="#0091a5" weight="1pt"/>
      <o:colormru v:ext="edit" colors="#0091a5"/>
    </o:shapedefaults>
    <o:shapelayout v:ext="edit">
      <o:idmap v:ext="edit" data="1"/>
    </o:shapelayout>
  </w:shapeDefaults>
  <w:decimalSymbol w:val="."/>
  <w:listSeparator w:val=","/>
  <w14:docId w14:val="7F37B755"/>
  <w15:chartTrackingRefBased/>
  <w15:docId w15:val="{549190E8-6156-418D-9D1F-53A4C7F9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E34"/>
    <w:rPr>
      <w:rFonts w:ascii="Times New Roman" w:eastAsia="Calibri" w:hAnsi="Times New Roman"/>
      <w:sz w:val="24"/>
      <w:szCs w:val="24"/>
    </w:rPr>
  </w:style>
  <w:style w:type="paragraph" w:styleId="Heading1">
    <w:name w:val="heading 1"/>
    <w:basedOn w:val="PlainText"/>
    <w:next w:val="BodyText"/>
    <w:link w:val="Heading1Char"/>
    <w:qFormat/>
    <w:rsid w:val="006B620B"/>
    <w:pPr>
      <w:keepNext/>
      <w:keepLines/>
      <w:spacing w:before="240" w:after="240"/>
      <w:outlineLvl w:val="0"/>
    </w:pPr>
    <w:rPr>
      <w:rFonts w:ascii="Arial" w:hAnsi="Arial"/>
      <w:b/>
      <w:bCs/>
      <w:color w:val="0091A5"/>
      <w:sz w:val="32"/>
      <w:szCs w:val="28"/>
    </w:rPr>
  </w:style>
  <w:style w:type="paragraph" w:styleId="Heading2">
    <w:name w:val="heading 2"/>
    <w:basedOn w:val="Normal"/>
    <w:next w:val="BodyText"/>
    <w:link w:val="Heading2Char"/>
    <w:qFormat/>
    <w:rsid w:val="008F3426"/>
    <w:pPr>
      <w:keepNext/>
      <w:keepLines/>
      <w:outlineLvl w:val="1"/>
    </w:pPr>
    <w:rPr>
      <w:rFonts w:ascii="Arial" w:hAnsi="Arial"/>
      <w:b/>
      <w:bCs/>
      <w:color w:val="0091A5"/>
      <w:sz w:val="28"/>
      <w:szCs w:val="26"/>
    </w:rPr>
  </w:style>
  <w:style w:type="paragraph" w:styleId="Heading3">
    <w:name w:val="heading 3"/>
    <w:basedOn w:val="Normal"/>
    <w:next w:val="BodyText"/>
    <w:link w:val="Heading3Char"/>
    <w:qFormat/>
    <w:rsid w:val="009B37B8"/>
    <w:pPr>
      <w:keepNext/>
      <w:keepLines/>
      <w:outlineLvl w:val="2"/>
    </w:pPr>
    <w:rPr>
      <w:b/>
      <w:bCs/>
      <w:color w:val="3C3C41"/>
    </w:rPr>
  </w:style>
  <w:style w:type="paragraph" w:styleId="Heading4">
    <w:name w:val="heading 4"/>
    <w:basedOn w:val="Normal"/>
    <w:next w:val="BodyText"/>
    <w:link w:val="Heading4Char"/>
    <w:qFormat/>
    <w:rsid w:val="009B37B8"/>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qFormat/>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uiPriority w:val="99"/>
    <w:rsid w:val="00504C76"/>
    <w:pPr>
      <w:tabs>
        <w:tab w:val="center" w:pos="4513"/>
        <w:tab w:val="right" w:pos="9026"/>
      </w:tabs>
    </w:pPr>
  </w:style>
  <w:style w:type="character" w:customStyle="1" w:styleId="FooterChar">
    <w:name w:val="Footer Char"/>
    <w:link w:val="Footer"/>
    <w:uiPriority w:val="99"/>
    <w:rsid w:val="00504C76"/>
    <w:rPr>
      <w:rFonts w:ascii="Arial" w:hAnsi="Arial"/>
      <w:sz w:val="24"/>
      <w:szCs w:val="24"/>
      <w:lang w:val="en-GB" w:eastAsia="en-US" w:bidi="ar-SA"/>
    </w:rPr>
  </w:style>
  <w:style w:type="character" w:customStyle="1" w:styleId="Heading1Char">
    <w:name w:val="Heading 1 Char"/>
    <w:link w:val="Heading1"/>
    <w:rsid w:val="006B620B"/>
    <w:rPr>
      <w:rFonts w:eastAsia="Calibri"/>
      <w:b/>
      <w:bCs/>
      <w:color w:val="0091A5"/>
      <w:sz w:val="32"/>
      <w:szCs w:val="28"/>
    </w:rPr>
  </w:style>
  <w:style w:type="character" w:customStyle="1" w:styleId="Heading2Char">
    <w:name w:val="Heading 2 Char"/>
    <w:link w:val="Heading2"/>
    <w:rsid w:val="008F3426"/>
    <w:rPr>
      <w:rFonts w:eastAsia="Calibri"/>
      <w:b/>
      <w:bCs/>
      <w:color w:val="0091A5"/>
      <w:sz w:val="28"/>
      <w:szCs w:val="26"/>
    </w:rPr>
  </w:style>
  <w:style w:type="paragraph" w:customStyle="1" w:styleId="Bullets">
    <w:name w:val="Bullets"/>
    <w:basedOn w:val="Normal"/>
    <w:qFormat/>
    <w:rsid w:val="00EA1F90"/>
    <w:pPr>
      <w:numPr>
        <w:numId w:val="14"/>
      </w:numPr>
    </w:pPr>
    <w:rPr>
      <w:rFonts w:ascii="Arial" w:hAnsi="Arial"/>
      <w:color w:val="000000"/>
    </w:rPr>
  </w:style>
  <w:style w:type="paragraph" w:styleId="BodyText">
    <w:name w:val="Body Text"/>
    <w:basedOn w:val="Normal"/>
    <w:link w:val="BodyTextChar"/>
    <w:qFormat/>
    <w:rsid w:val="006E6741"/>
    <w:pPr>
      <w:spacing w:before="240" w:after="240"/>
    </w:pPr>
    <w:rPr>
      <w:rFonts w:ascii="Arial" w:hAnsi="Arial"/>
      <w:color w:val="000000"/>
    </w:rPr>
  </w:style>
  <w:style w:type="character" w:customStyle="1" w:styleId="BodyTextChar">
    <w:name w:val="Body Text Char"/>
    <w:link w:val="BodyText"/>
    <w:rsid w:val="006E6741"/>
    <w:rPr>
      <w:rFonts w:eastAsia="Calibri"/>
      <w:color w:val="000000"/>
      <w:sz w:val="24"/>
      <w:szCs w:val="24"/>
    </w:rPr>
  </w:style>
  <w:style w:type="character" w:customStyle="1" w:styleId="Heading3Char">
    <w:name w:val="Heading 3 Char"/>
    <w:link w:val="Heading3"/>
    <w:rsid w:val="009B37B8"/>
    <w:rPr>
      <w:rFonts w:ascii="Arial" w:hAnsi="Arial"/>
      <w:b/>
      <w:bCs/>
      <w:color w:val="3C3C41"/>
      <w:sz w:val="24"/>
      <w:szCs w:val="24"/>
      <w:lang w:val="en-GB" w:eastAsia="en-US" w:bidi="ar-SA"/>
    </w:rPr>
  </w:style>
  <w:style w:type="character" w:customStyle="1" w:styleId="Heading4Char">
    <w:name w:val="Heading 4 Char"/>
    <w:link w:val="Heading4"/>
    <w:rsid w:val="009B37B8"/>
    <w:rPr>
      <w:rFonts w:ascii="Arial" w:hAnsi="Arial"/>
      <w:bCs/>
      <w:i/>
      <w:iCs/>
      <w:color w:val="3C3C41"/>
      <w:sz w:val="24"/>
      <w:szCs w:val="24"/>
      <w:lang w:val="en-GB" w:eastAsia="en-US" w:bidi="ar-SA"/>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504C76"/>
    <w:rPr>
      <w:color w:val="2D962D"/>
      <w:u w:val="single"/>
    </w:rPr>
  </w:style>
  <w:style w:type="paragraph" w:customStyle="1" w:styleId="Contents">
    <w:name w:val="Contents"/>
    <w:basedOn w:val="TOC1"/>
    <w:semiHidden/>
    <w:qFormat/>
    <w:rsid w:val="009B37B8"/>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FootnoteText">
    <w:name w:val="footnote text"/>
    <w:basedOn w:val="Normal"/>
    <w:link w:val="FootnoteTextChar"/>
    <w:rsid w:val="006E00AF"/>
    <w:rPr>
      <w:rFonts w:ascii="Arial" w:eastAsia="Times New Roman" w:hAnsi="Arial"/>
      <w:sz w:val="20"/>
      <w:szCs w:val="20"/>
    </w:rPr>
  </w:style>
  <w:style w:type="character" w:customStyle="1" w:styleId="FootnoteTextChar">
    <w:name w:val="Footnote Text Char"/>
    <w:basedOn w:val="DefaultParagraphFont"/>
    <w:link w:val="FootnoteText"/>
    <w:rsid w:val="006E00AF"/>
  </w:style>
  <w:style w:type="character" w:styleId="FootnoteReference">
    <w:name w:val="footnote reference"/>
    <w:rsid w:val="006E00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ain.jenkins@cyfoethnaturiolcymru.gov.uk\Downloads\General%20Document%20Portrait%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50B2D5385F39949BC3DFC7D3F50FF22" ma:contentTypeVersion="74" ma:contentTypeDescription="" ma:contentTypeScope="" ma:versionID="c1fc3b74567cfb24724e4bfe9283b9d5">
  <xsd:schema xmlns:xsd="http://www.w3.org/2001/XMLSchema" xmlns:xs="http://www.w3.org/2001/XMLSchema" xmlns:p="http://schemas.microsoft.com/office/2006/metadata/properties" targetNamespace="http://schemas.microsoft.com/office/2006/metadata/properties" ma:root="true" ma:fieldsID="6cf6d7a4b67ad6fbc1d1dab21d546f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6492F-08FE-4ABE-B8C2-4A7F6A412580}">
  <ds:schemaRefs>
    <ds:schemaRef ds:uri="http://schemas.microsoft.com/sharepoint/events"/>
  </ds:schemaRefs>
</ds:datastoreItem>
</file>

<file path=customXml/itemProps2.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3.xml><?xml version="1.0" encoding="utf-8"?>
<ds:datastoreItem xmlns:ds="http://schemas.openxmlformats.org/officeDocument/2006/customXml" ds:itemID="{27B4F4B1-90B3-4A54-AE9A-8D45DCA9F891}">
  <ds:schemaRefs>
    <ds:schemaRef ds:uri="Microsoft.SharePoint.Taxonomy.ContentTypeSync"/>
  </ds:schemaRefs>
</ds:datastoreItem>
</file>

<file path=customXml/itemProps4.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5.xml><?xml version="1.0" encoding="utf-8"?>
<ds:datastoreItem xmlns:ds="http://schemas.openxmlformats.org/officeDocument/2006/customXml" ds:itemID="{4978FF5E-8577-4FEA-AC9B-4931DCCBB348}">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s>
</ds:datastoreItem>
</file>

<file path=customXml/itemProps6.xml><?xml version="1.0" encoding="utf-8"?>
<ds:datastoreItem xmlns:ds="http://schemas.openxmlformats.org/officeDocument/2006/customXml" ds:itemID="{74F72085-CF64-4684-B3AE-ED00EF880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General Document Portrait A4.dot</Template>
  <TotalTime>0</TotalTime>
  <Pages>2</Pages>
  <Words>513</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jan_e</dc:creator>
  <cp:keywords/>
  <cp:lastModifiedBy>Jenkins, Owain</cp:lastModifiedBy>
  <cp:revision>2</cp:revision>
  <cp:lastPrinted>2013-10-01T07:52:00Z</cp:lastPrinted>
  <dcterms:created xsi:type="dcterms:W3CDTF">2015-12-29T14:08:00Z</dcterms:created>
  <dcterms:modified xsi:type="dcterms:W3CDTF">2015-12-29T14:08:00Z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MANA-1496043048-14</vt:lpwstr>
  </property>
  <property fmtid="{D5CDD505-2E9C-101B-9397-08002B2CF9AE}" pid="4" name="_dlc_DocIdItemGuid">
    <vt:lpwstr>fa158c34-6a3b-488a-b20a-e0eb97974031</vt:lpwstr>
  </property>
  <property fmtid="{D5CDD505-2E9C-101B-9397-08002B2CF9AE}" pid="5" name="_dlc_DocIdUrl">
    <vt:lpwstr>https://cyfoethnaturiolcymru.sharepoint.com/teams/manbus/odpm/peos/_layouts/15/DocIdRedir.aspx?ID=MANA-1496043048-14, MANA-1496043048-14</vt:lpwstr>
  </property>
  <property fmtid="{D5CDD505-2E9C-101B-9397-08002B2CF9AE}" pid="6" name="ContentTypeId">
    <vt:lpwstr>0x01010067EB80C5FE939D4A9B3D8BA62129B7F50100B50B2D5385F39949BC3DFC7D3F50FF22</vt:lpwstr>
  </property>
</Properties>
</file>