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tblGrid>
      <w:tr w:rsidR="00D62132" w:rsidRPr="006C19FD" w14:paraId="199902BF" w14:textId="77777777" w:rsidTr="00BE272F">
        <w:tc>
          <w:tcPr>
            <w:tcW w:w="2972" w:type="dxa"/>
            <w:shd w:val="clear" w:color="auto" w:fill="auto"/>
          </w:tcPr>
          <w:p w14:paraId="1E651827" w14:textId="77777777" w:rsidR="00D62132" w:rsidRPr="006C19FD" w:rsidRDefault="00D62132" w:rsidP="00BE272F">
            <w:pPr>
              <w:spacing w:after="240"/>
              <w:jc w:val="both"/>
              <w:rPr>
                <w:rFonts w:cs="Arial"/>
                <w:b/>
              </w:rPr>
            </w:pPr>
            <w:r>
              <w:rPr>
                <w:rFonts w:cs="Arial"/>
                <w:b/>
              </w:rPr>
              <w:t>Paper Title:</w:t>
            </w:r>
          </w:p>
        </w:tc>
        <w:tc>
          <w:tcPr>
            <w:tcW w:w="6662" w:type="dxa"/>
            <w:shd w:val="clear" w:color="auto" w:fill="auto"/>
          </w:tcPr>
          <w:p w14:paraId="275C4392" w14:textId="77777777" w:rsidR="00D62132" w:rsidRPr="00320176" w:rsidRDefault="00D0161A" w:rsidP="00BE272F">
            <w:pPr>
              <w:jc w:val="both"/>
              <w:rPr>
                <w:rFonts w:cs="Arial"/>
                <w:b/>
              </w:rPr>
            </w:pPr>
            <w:bookmarkStart w:id="0" w:name="_GoBack"/>
            <w:r w:rsidRPr="00DF3716">
              <w:rPr>
                <w:rFonts w:cs="Arial"/>
                <w:b/>
              </w:rPr>
              <w:t xml:space="preserve">Performance Report 2018/19 </w:t>
            </w:r>
            <w:r w:rsidR="00320176">
              <w:rPr>
                <w:rFonts w:cs="Arial"/>
                <w:b/>
              </w:rPr>
              <w:t xml:space="preserve">- </w:t>
            </w:r>
            <w:r w:rsidRPr="00DF3716">
              <w:rPr>
                <w:rFonts w:cs="Arial"/>
                <w:b/>
              </w:rPr>
              <w:t xml:space="preserve">Quarter </w:t>
            </w:r>
            <w:r>
              <w:rPr>
                <w:rFonts w:cs="Arial"/>
                <w:b/>
              </w:rPr>
              <w:t>three</w:t>
            </w:r>
            <w:r w:rsidRPr="00DF3716">
              <w:rPr>
                <w:rFonts w:cs="Arial"/>
                <w:b/>
              </w:rPr>
              <w:t xml:space="preserve"> report</w:t>
            </w:r>
            <w:bookmarkEnd w:id="0"/>
          </w:p>
        </w:tc>
      </w:tr>
      <w:tr w:rsidR="00D62132" w:rsidRPr="006C19FD" w14:paraId="1A5E140A" w14:textId="77777777" w:rsidTr="00BE272F">
        <w:tc>
          <w:tcPr>
            <w:tcW w:w="2972" w:type="dxa"/>
            <w:shd w:val="clear" w:color="auto" w:fill="auto"/>
          </w:tcPr>
          <w:p w14:paraId="1E0B1089" w14:textId="77777777" w:rsidR="00D62132" w:rsidRPr="006C19FD" w:rsidRDefault="00D62132" w:rsidP="00BE272F">
            <w:pPr>
              <w:spacing w:after="240"/>
              <w:jc w:val="both"/>
              <w:rPr>
                <w:rFonts w:cs="Arial"/>
                <w:b/>
              </w:rPr>
            </w:pPr>
            <w:r w:rsidRPr="006C19FD">
              <w:rPr>
                <w:rFonts w:cs="Arial"/>
                <w:b/>
              </w:rPr>
              <w:t>Paper Reference:</w:t>
            </w:r>
          </w:p>
        </w:tc>
        <w:tc>
          <w:tcPr>
            <w:tcW w:w="6662" w:type="dxa"/>
            <w:shd w:val="clear" w:color="auto" w:fill="auto"/>
          </w:tcPr>
          <w:p w14:paraId="2986259F" w14:textId="51103B26" w:rsidR="00D62132" w:rsidRPr="006C19FD" w:rsidRDefault="00070091" w:rsidP="00BE272F">
            <w:pPr>
              <w:spacing w:after="240"/>
              <w:jc w:val="both"/>
              <w:rPr>
                <w:rFonts w:cs="Arial"/>
                <w:b/>
              </w:rPr>
            </w:pPr>
            <w:r>
              <w:rPr>
                <w:rFonts w:cs="Arial"/>
                <w:b/>
              </w:rPr>
              <w:t>Paper 1903-B10</w:t>
            </w:r>
            <w:r w:rsidR="000C3F9E">
              <w:rPr>
                <w:rFonts w:cs="Arial"/>
                <w:b/>
              </w:rPr>
              <w:t xml:space="preserve"> </w:t>
            </w:r>
          </w:p>
        </w:tc>
      </w:tr>
      <w:tr w:rsidR="00D62132" w:rsidRPr="006C19FD" w14:paraId="01D1F806" w14:textId="77777777" w:rsidTr="00BE272F">
        <w:tc>
          <w:tcPr>
            <w:tcW w:w="2972" w:type="dxa"/>
            <w:shd w:val="clear" w:color="auto" w:fill="auto"/>
          </w:tcPr>
          <w:p w14:paraId="26337DDB" w14:textId="77777777" w:rsidR="00D62132" w:rsidRPr="006C19FD" w:rsidRDefault="00D62132" w:rsidP="00BE272F">
            <w:pPr>
              <w:spacing w:after="240"/>
              <w:jc w:val="both"/>
              <w:rPr>
                <w:rFonts w:cs="Arial"/>
                <w:b/>
              </w:rPr>
            </w:pPr>
            <w:r>
              <w:rPr>
                <w:rFonts w:cs="Arial"/>
                <w:b/>
              </w:rPr>
              <w:t>Paper Sponsored By:</w:t>
            </w:r>
          </w:p>
        </w:tc>
        <w:tc>
          <w:tcPr>
            <w:tcW w:w="6662" w:type="dxa"/>
            <w:shd w:val="clear" w:color="auto" w:fill="auto"/>
          </w:tcPr>
          <w:p w14:paraId="206FF335" w14:textId="77777777" w:rsidR="00D62132" w:rsidRPr="006C19FD" w:rsidRDefault="00D0161A" w:rsidP="00BE272F">
            <w:pPr>
              <w:spacing w:after="240"/>
              <w:jc w:val="both"/>
              <w:rPr>
                <w:rFonts w:cs="Arial"/>
                <w:b/>
              </w:rPr>
            </w:pPr>
            <w:r w:rsidRPr="00B73187">
              <w:rPr>
                <w:rFonts w:cs="Arial"/>
                <w:b/>
              </w:rPr>
              <w:t>Clare Pillman</w:t>
            </w:r>
          </w:p>
        </w:tc>
      </w:tr>
      <w:tr w:rsidR="00D62132" w:rsidRPr="006C19FD" w14:paraId="0B756683" w14:textId="77777777" w:rsidTr="00BE272F">
        <w:tc>
          <w:tcPr>
            <w:tcW w:w="2972" w:type="dxa"/>
            <w:shd w:val="clear" w:color="auto" w:fill="auto"/>
          </w:tcPr>
          <w:p w14:paraId="6F24A165" w14:textId="77777777" w:rsidR="00D62132" w:rsidRPr="006C19FD" w:rsidRDefault="00D62132" w:rsidP="00BE272F">
            <w:pPr>
              <w:spacing w:after="240"/>
              <w:jc w:val="both"/>
              <w:rPr>
                <w:rFonts w:cs="Arial"/>
                <w:b/>
              </w:rPr>
            </w:pPr>
            <w:r>
              <w:rPr>
                <w:rFonts w:cs="Arial"/>
                <w:b/>
              </w:rPr>
              <w:t>Paper Presented</w:t>
            </w:r>
            <w:r w:rsidRPr="006C19FD">
              <w:rPr>
                <w:rFonts w:cs="Arial"/>
                <w:b/>
              </w:rPr>
              <w:t xml:space="preserve"> By:</w:t>
            </w:r>
          </w:p>
        </w:tc>
        <w:tc>
          <w:tcPr>
            <w:tcW w:w="6662" w:type="dxa"/>
            <w:shd w:val="clear" w:color="auto" w:fill="auto"/>
          </w:tcPr>
          <w:p w14:paraId="6B5087C4" w14:textId="77777777" w:rsidR="00D62132" w:rsidRPr="006C19FD" w:rsidRDefault="009E424B" w:rsidP="00BE272F">
            <w:pPr>
              <w:spacing w:after="240"/>
              <w:jc w:val="both"/>
              <w:rPr>
                <w:rFonts w:cs="Arial"/>
                <w:b/>
              </w:rPr>
            </w:pPr>
            <w:r w:rsidRPr="009E424B">
              <w:rPr>
                <w:rFonts w:cs="Arial"/>
                <w:b/>
              </w:rPr>
              <w:t>Executive Team</w:t>
            </w:r>
          </w:p>
        </w:tc>
      </w:tr>
    </w:tbl>
    <w:p w14:paraId="31EA7041" w14:textId="77777777" w:rsidR="00225AB2" w:rsidRPr="000105A2" w:rsidRDefault="00225AB2" w:rsidP="00BE272F">
      <w:pPr>
        <w:pStyle w:val="BodyText"/>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62"/>
      </w:tblGrid>
      <w:tr w:rsidR="00225AB2" w:rsidRPr="006C19FD" w14:paraId="24A0969F" w14:textId="77777777" w:rsidTr="00BE272F">
        <w:tc>
          <w:tcPr>
            <w:tcW w:w="2972" w:type="dxa"/>
            <w:shd w:val="clear" w:color="auto" w:fill="auto"/>
          </w:tcPr>
          <w:p w14:paraId="09E13E17" w14:textId="77777777" w:rsidR="00225AB2" w:rsidRPr="006C19FD" w:rsidRDefault="00225AB2" w:rsidP="00BE272F">
            <w:pPr>
              <w:jc w:val="both"/>
              <w:rPr>
                <w:rFonts w:cs="Arial"/>
                <w:b/>
              </w:rPr>
            </w:pPr>
            <w:r w:rsidRPr="006C19FD">
              <w:rPr>
                <w:rFonts w:cs="Arial"/>
                <w:b/>
              </w:rPr>
              <w:t>Purpose of Paper:</w:t>
            </w:r>
          </w:p>
        </w:tc>
        <w:tc>
          <w:tcPr>
            <w:tcW w:w="6662" w:type="dxa"/>
            <w:shd w:val="clear" w:color="auto" w:fill="auto"/>
          </w:tcPr>
          <w:p w14:paraId="2117AEFB" w14:textId="77777777" w:rsidR="00225AB2" w:rsidRPr="00DD1455" w:rsidRDefault="00D0161A" w:rsidP="00BE272F">
            <w:pPr>
              <w:spacing w:after="240"/>
              <w:jc w:val="both"/>
              <w:rPr>
                <w:rFonts w:eastAsia="Calibri" w:cs="Arial"/>
              </w:rPr>
            </w:pPr>
            <w:r>
              <w:rPr>
                <w:rFonts w:cs="Arial"/>
                <w:b/>
              </w:rPr>
              <w:t>S</w:t>
            </w:r>
            <w:r w:rsidRPr="00B73187">
              <w:rPr>
                <w:rFonts w:cs="Arial"/>
                <w:b/>
              </w:rPr>
              <w:t>crutiny</w:t>
            </w:r>
            <w:r w:rsidR="00652B1E">
              <w:rPr>
                <w:rFonts w:cs="Arial"/>
                <w:b/>
              </w:rPr>
              <w:t xml:space="preserve"> / Decision</w:t>
            </w:r>
          </w:p>
        </w:tc>
      </w:tr>
      <w:tr w:rsidR="00225AB2" w:rsidRPr="006C19FD" w14:paraId="55D06688" w14:textId="77777777" w:rsidTr="00BE272F">
        <w:tc>
          <w:tcPr>
            <w:tcW w:w="2972" w:type="dxa"/>
            <w:shd w:val="clear" w:color="auto" w:fill="auto"/>
          </w:tcPr>
          <w:p w14:paraId="3FBF1785" w14:textId="77777777" w:rsidR="00225AB2" w:rsidRPr="006C19FD" w:rsidRDefault="00225AB2" w:rsidP="00BE272F">
            <w:pPr>
              <w:jc w:val="both"/>
              <w:rPr>
                <w:rFonts w:cs="Arial"/>
                <w:b/>
              </w:rPr>
            </w:pPr>
            <w:r w:rsidRPr="006C19FD">
              <w:rPr>
                <w:rFonts w:cs="Arial"/>
                <w:b/>
              </w:rPr>
              <w:t>Recommendation:</w:t>
            </w:r>
          </w:p>
        </w:tc>
        <w:tc>
          <w:tcPr>
            <w:tcW w:w="6662" w:type="dxa"/>
            <w:shd w:val="clear" w:color="auto" w:fill="auto"/>
          </w:tcPr>
          <w:p w14:paraId="20F62747" w14:textId="77777777" w:rsidR="00D0161A" w:rsidRPr="00B73187" w:rsidRDefault="00D0161A" w:rsidP="00BE272F">
            <w:pPr>
              <w:jc w:val="both"/>
              <w:rPr>
                <w:rFonts w:cs="Arial"/>
              </w:rPr>
            </w:pPr>
            <w:r w:rsidRPr="00B73187">
              <w:rPr>
                <w:rFonts w:cs="Arial"/>
              </w:rPr>
              <w:t xml:space="preserve">The Board is requested to scrutinise </w:t>
            </w:r>
            <w:r w:rsidR="00777F61" w:rsidRPr="00777F61">
              <w:rPr>
                <w:rFonts w:cs="Arial"/>
              </w:rPr>
              <w:t>and agree the performance report for quarter three, prior to its submission to Welsh Government</w:t>
            </w:r>
            <w:r w:rsidR="00777F61">
              <w:rPr>
                <w:rFonts w:cs="Arial"/>
              </w:rPr>
              <w:t xml:space="preserve"> </w:t>
            </w:r>
            <w:r w:rsidRPr="00B73187">
              <w:rPr>
                <w:rFonts w:cs="Arial"/>
              </w:rPr>
              <w:t>and specifically consider:</w:t>
            </w:r>
          </w:p>
          <w:p w14:paraId="1E4DA018" w14:textId="77777777" w:rsidR="00777F61" w:rsidRDefault="00D0161A" w:rsidP="00BE272F">
            <w:pPr>
              <w:numPr>
                <w:ilvl w:val="0"/>
                <w:numId w:val="16"/>
              </w:numPr>
              <w:jc w:val="both"/>
              <w:rPr>
                <w:rFonts w:cs="Arial"/>
              </w:rPr>
            </w:pPr>
            <w:r w:rsidRPr="00B73187">
              <w:rPr>
                <w:rFonts w:cs="Arial"/>
              </w:rPr>
              <w:t>The adequacy of the supporting explanation for each measure and how recent legislation has changed how we work</w:t>
            </w:r>
            <w:r w:rsidR="00AB6FDE">
              <w:rPr>
                <w:rFonts w:cs="Arial"/>
              </w:rPr>
              <w:t>.</w:t>
            </w:r>
          </w:p>
          <w:p w14:paraId="23036F45" w14:textId="77777777" w:rsidR="00225AB2" w:rsidRPr="00777F61" w:rsidRDefault="00D0161A" w:rsidP="00BE272F">
            <w:pPr>
              <w:numPr>
                <w:ilvl w:val="0"/>
                <w:numId w:val="16"/>
              </w:numPr>
              <w:jc w:val="both"/>
              <w:rPr>
                <w:rFonts w:cs="Arial"/>
              </w:rPr>
            </w:pPr>
            <w:r w:rsidRPr="00777F61">
              <w:rPr>
                <w:rFonts w:cs="Arial"/>
              </w:rPr>
              <w:t>The action taken and planned</w:t>
            </w:r>
            <w:r w:rsidR="00AB6FDE">
              <w:rPr>
                <w:rFonts w:cs="Arial"/>
              </w:rPr>
              <w:t>.</w:t>
            </w:r>
          </w:p>
        </w:tc>
      </w:tr>
    </w:tbl>
    <w:p w14:paraId="36FA5FA6" w14:textId="77777777" w:rsidR="00225AB2" w:rsidRDefault="00225AB2" w:rsidP="00BE272F">
      <w:pPr>
        <w:jc w:val="both"/>
        <w:rPr>
          <w:rFonts w:cs="Arial"/>
          <w:b/>
          <w:u w:val="single"/>
        </w:rPr>
      </w:pPr>
    </w:p>
    <w:p w14:paraId="3E3440E4" w14:textId="77777777" w:rsidR="00225AB2" w:rsidRDefault="00225AB2" w:rsidP="00BE272F">
      <w:pPr>
        <w:pStyle w:val="Heading2"/>
        <w:jc w:val="both"/>
      </w:pPr>
      <w:r w:rsidRPr="00825EA4">
        <w:t>Issue</w:t>
      </w:r>
    </w:p>
    <w:p w14:paraId="75AA3FA5" w14:textId="77777777" w:rsidR="00D0161A" w:rsidRPr="00D0161A" w:rsidRDefault="00D0161A" w:rsidP="00BE272F">
      <w:pPr>
        <w:pStyle w:val="BodyText"/>
        <w:jc w:val="both"/>
      </w:pPr>
    </w:p>
    <w:p w14:paraId="1F588E76" w14:textId="77777777" w:rsidR="00D0161A" w:rsidRPr="00B73187" w:rsidRDefault="00D0161A" w:rsidP="00BE272F">
      <w:pPr>
        <w:numPr>
          <w:ilvl w:val="0"/>
          <w:numId w:val="17"/>
        </w:numPr>
        <w:ind w:left="567" w:hanging="567"/>
        <w:jc w:val="both"/>
      </w:pPr>
      <w:r w:rsidRPr="00B73187">
        <w:t>The 2018/19 quarter three round of corporate performance reporting, for 1 April 2018 to 31 December 2018, has now been completed. The performance report has been prepared for Board scrutiny prior to submission to Welsh Government. Performance reporting takes place every three months – a change from last year (when we reported every four months)</w:t>
      </w:r>
    </w:p>
    <w:p w14:paraId="235DFF8A" w14:textId="77777777" w:rsidR="00225AB2" w:rsidRDefault="00225AB2" w:rsidP="00BE272F">
      <w:pPr>
        <w:jc w:val="both"/>
        <w:rPr>
          <w:rFonts w:cs="Arial"/>
          <w:b/>
          <w:u w:val="single"/>
        </w:rPr>
      </w:pPr>
    </w:p>
    <w:p w14:paraId="68210D39" w14:textId="77777777" w:rsidR="003F7639" w:rsidRDefault="003F7639" w:rsidP="00BE272F">
      <w:pPr>
        <w:pStyle w:val="Heading2"/>
        <w:jc w:val="both"/>
      </w:pPr>
      <w:r>
        <w:t>Background</w:t>
      </w:r>
    </w:p>
    <w:p w14:paraId="57053778" w14:textId="77777777" w:rsidR="00D0161A" w:rsidRPr="00D0161A" w:rsidRDefault="00D0161A" w:rsidP="00BE272F">
      <w:pPr>
        <w:pStyle w:val="BodyText"/>
        <w:jc w:val="both"/>
      </w:pPr>
    </w:p>
    <w:p w14:paraId="7E2DE8C8" w14:textId="77777777" w:rsidR="00D0161A" w:rsidRPr="00B73187" w:rsidRDefault="00D0161A" w:rsidP="00BE272F">
      <w:pPr>
        <w:numPr>
          <w:ilvl w:val="0"/>
          <w:numId w:val="17"/>
        </w:numPr>
        <w:ind w:left="567" w:hanging="567"/>
        <w:jc w:val="both"/>
        <w:rPr>
          <w:rFonts w:cs="Arial"/>
        </w:rPr>
      </w:pPr>
      <w:r w:rsidRPr="00B73187">
        <w:t>The corporate performance report is one of the Board’s principal ways of scrutinising our delivery and supporting strategic planning.</w:t>
      </w:r>
    </w:p>
    <w:p w14:paraId="424839F7" w14:textId="77777777" w:rsidR="00D0161A" w:rsidRPr="00B73187" w:rsidRDefault="00D0161A" w:rsidP="00BE272F">
      <w:pPr>
        <w:ind w:left="720"/>
        <w:jc w:val="both"/>
        <w:rPr>
          <w:rFonts w:cs="Arial"/>
        </w:rPr>
      </w:pPr>
    </w:p>
    <w:p w14:paraId="67E49591" w14:textId="77777777" w:rsidR="00D0161A" w:rsidRPr="00B73187" w:rsidRDefault="00BE272F" w:rsidP="00BE272F">
      <w:pPr>
        <w:numPr>
          <w:ilvl w:val="0"/>
          <w:numId w:val="17"/>
        </w:numPr>
        <w:ind w:left="567" w:hanging="567"/>
        <w:jc w:val="both"/>
        <w:rPr>
          <w:rFonts w:cs="Arial"/>
        </w:rPr>
      </w:pPr>
      <w:r>
        <w:rPr>
          <w:rFonts w:cs="Arial"/>
        </w:rPr>
        <w:t>The performance report (A</w:t>
      </w:r>
      <w:r w:rsidR="00D0161A" w:rsidRPr="00B73187">
        <w:rPr>
          <w:rFonts w:cs="Arial"/>
        </w:rPr>
        <w:t>nnex 1) was developed as part of the process to prepare the 2018/19 Business Plan and the Corporate Plan to 2022 with the Board, the Executive Team and</w:t>
      </w:r>
      <w:r>
        <w:rPr>
          <w:rFonts w:cs="Arial"/>
        </w:rPr>
        <w:t xml:space="preserve"> the Planning &amp; Performance sub-</w:t>
      </w:r>
      <w:r w:rsidR="00D0161A" w:rsidRPr="00B73187">
        <w:rPr>
          <w:rFonts w:cs="Arial"/>
        </w:rPr>
        <w:t>group of the Board. It consists of:</w:t>
      </w:r>
    </w:p>
    <w:p w14:paraId="474AB78A" w14:textId="77777777" w:rsidR="00D0161A" w:rsidRPr="00B73187" w:rsidRDefault="00D0161A" w:rsidP="00BE272F">
      <w:pPr>
        <w:numPr>
          <w:ilvl w:val="0"/>
          <w:numId w:val="18"/>
        </w:numPr>
        <w:ind w:left="993" w:hanging="426"/>
        <w:jc w:val="both"/>
        <w:rPr>
          <w:rFonts w:cs="Arial"/>
        </w:rPr>
      </w:pPr>
      <w:r w:rsidRPr="00B73187">
        <w:rPr>
          <w:rFonts w:cs="Arial"/>
        </w:rPr>
        <w:t>A dashboard providing a single page overview of performance highlights against the Business Plan 2018/19.</w:t>
      </w:r>
    </w:p>
    <w:p w14:paraId="186FF723" w14:textId="77777777" w:rsidR="00D0161A" w:rsidRPr="00B73187" w:rsidRDefault="00D0161A" w:rsidP="00BE272F">
      <w:pPr>
        <w:numPr>
          <w:ilvl w:val="0"/>
          <w:numId w:val="18"/>
        </w:numPr>
        <w:ind w:left="993" w:hanging="426"/>
        <w:jc w:val="both"/>
        <w:rPr>
          <w:rFonts w:cs="Arial"/>
        </w:rPr>
      </w:pPr>
      <w:r w:rsidRPr="00B73187">
        <w:rPr>
          <w:rFonts w:cs="Arial"/>
        </w:rPr>
        <w:t>Text for each dashboard target focussing on why each activity is important, what we have achieved and what we are going to do next.</w:t>
      </w:r>
    </w:p>
    <w:p w14:paraId="1A68B091" w14:textId="77777777" w:rsidR="00D0161A" w:rsidRPr="00B73187" w:rsidRDefault="00D0161A" w:rsidP="00BE272F">
      <w:pPr>
        <w:numPr>
          <w:ilvl w:val="0"/>
          <w:numId w:val="18"/>
        </w:numPr>
        <w:ind w:left="993" w:hanging="426"/>
        <w:jc w:val="both"/>
        <w:rPr>
          <w:rFonts w:cs="Arial"/>
        </w:rPr>
      </w:pPr>
      <w:r w:rsidRPr="00B73187">
        <w:rPr>
          <w:rFonts w:cs="Arial"/>
        </w:rPr>
        <w:t>Text explaining how, the Environment (Wales) Act and Wellbeing of Future Generations (Wales) Act have changed how we work.</w:t>
      </w:r>
    </w:p>
    <w:p w14:paraId="3D4A5CA7" w14:textId="77777777" w:rsidR="00D0161A" w:rsidRPr="00B73187" w:rsidRDefault="00D0161A" w:rsidP="00BE272F">
      <w:pPr>
        <w:ind w:left="360"/>
        <w:jc w:val="both"/>
        <w:rPr>
          <w:rFonts w:cs="Arial"/>
        </w:rPr>
      </w:pPr>
    </w:p>
    <w:p w14:paraId="68D1526D" w14:textId="77777777" w:rsidR="003F7639" w:rsidRDefault="00D0161A" w:rsidP="00BE272F">
      <w:pPr>
        <w:numPr>
          <w:ilvl w:val="0"/>
          <w:numId w:val="17"/>
        </w:numPr>
        <w:ind w:left="567" w:hanging="567"/>
        <w:jc w:val="both"/>
      </w:pPr>
      <w:r w:rsidRPr="000F26C5">
        <w:rPr>
          <w:rFonts w:cs="Arial"/>
        </w:rPr>
        <w:t xml:space="preserve">This is the third report for current Business Plan (2018/19). It is also the first year of reporting related to our new Corporate Plan to 2022. </w:t>
      </w:r>
    </w:p>
    <w:p w14:paraId="4153FEAF" w14:textId="77777777" w:rsidR="003F7639" w:rsidRDefault="003F7639" w:rsidP="00BE272F">
      <w:pPr>
        <w:pStyle w:val="Heading2"/>
        <w:jc w:val="both"/>
      </w:pPr>
      <w:r>
        <w:lastRenderedPageBreak/>
        <w:t>Assessment</w:t>
      </w:r>
    </w:p>
    <w:p w14:paraId="4E5E464E" w14:textId="77777777" w:rsidR="00D0161A" w:rsidRPr="00D0161A" w:rsidRDefault="00D0161A" w:rsidP="00BE272F">
      <w:pPr>
        <w:pStyle w:val="BodyText"/>
        <w:jc w:val="both"/>
      </w:pPr>
    </w:p>
    <w:p w14:paraId="11BC0A29" w14:textId="77777777" w:rsidR="00D0161A" w:rsidRPr="00B73187" w:rsidRDefault="00D0161A" w:rsidP="00BE272F">
      <w:pPr>
        <w:numPr>
          <w:ilvl w:val="0"/>
          <w:numId w:val="17"/>
        </w:numPr>
        <w:ind w:left="567" w:hanging="567"/>
        <w:jc w:val="both"/>
        <w:rPr>
          <w:rFonts w:cs="Arial"/>
        </w:rPr>
      </w:pPr>
      <w:r w:rsidRPr="00B73187">
        <w:rPr>
          <w:rFonts w:cs="Arial"/>
        </w:rPr>
        <w:t xml:space="preserve">Our performance for quarter three of the Business Plan (2018/19) </w:t>
      </w:r>
      <w:r w:rsidR="000F26C5">
        <w:t>is shown below</w:t>
      </w:r>
      <w:r w:rsidR="00BE272F">
        <w:t>:</w:t>
      </w:r>
    </w:p>
    <w:p w14:paraId="75DE88FA" w14:textId="77777777" w:rsidR="00D0161A" w:rsidRPr="00B73187" w:rsidRDefault="00D0161A" w:rsidP="00BE272F">
      <w:pPr>
        <w:jc w:val="both"/>
        <w:rPr>
          <w:rFonts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809"/>
        <w:gridCol w:w="2126"/>
        <w:gridCol w:w="2126"/>
      </w:tblGrid>
      <w:tr w:rsidR="00D0161A" w:rsidRPr="00B73187" w14:paraId="247AEFCF" w14:textId="77777777" w:rsidTr="002C560A">
        <w:tc>
          <w:tcPr>
            <w:tcW w:w="1764" w:type="dxa"/>
            <w:shd w:val="clear" w:color="auto" w:fill="auto"/>
          </w:tcPr>
          <w:p w14:paraId="7539E6F6" w14:textId="77777777" w:rsidR="00D0161A" w:rsidRPr="00B73187" w:rsidRDefault="00D0161A" w:rsidP="00BE272F">
            <w:pPr>
              <w:jc w:val="both"/>
              <w:rPr>
                <w:rFonts w:cs="Arial"/>
              </w:rPr>
            </w:pPr>
          </w:p>
        </w:tc>
        <w:tc>
          <w:tcPr>
            <w:tcW w:w="1809" w:type="dxa"/>
          </w:tcPr>
          <w:p w14:paraId="495E6D38" w14:textId="77777777" w:rsidR="00D0161A" w:rsidRPr="00B73187" w:rsidRDefault="00D0161A" w:rsidP="00BE272F">
            <w:pPr>
              <w:jc w:val="both"/>
              <w:rPr>
                <w:rFonts w:cs="Arial"/>
              </w:rPr>
            </w:pPr>
            <w:r w:rsidRPr="00B73187">
              <w:rPr>
                <w:rFonts w:cs="Arial"/>
              </w:rPr>
              <w:t>Quarter One</w:t>
            </w:r>
          </w:p>
          <w:p w14:paraId="4690CEF1" w14:textId="77777777" w:rsidR="00D0161A" w:rsidRPr="00B73187" w:rsidRDefault="00D0161A" w:rsidP="00BE272F">
            <w:pPr>
              <w:jc w:val="both"/>
              <w:rPr>
                <w:rFonts w:cs="Arial"/>
              </w:rPr>
            </w:pPr>
            <w:r w:rsidRPr="00B73187">
              <w:rPr>
                <w:rFonts w:cs="Arial"/>
              </w:rPr>
              <w:t>1 April 2018 to 30 June 2018</w:t>
            </w:r>
          </w:p>
        </w:tc>
        <w:tc>
          <w:tcPr>
            <w:tcW w:w="2126" w:type="dxa"/>
          </w:tcPr>
          <w:p w14:paraId="3C5FC5F9" w14:textId="77777777" w:rsidR="00D0161A" w:rsidRPr="00B73187" w:rsidRDefault="00D0161A" w:rsidP="00BE272F">
            <w:pPr>
              <w:jc w:val="both"/>
              <w:rPr>
                <w:rFonts w:cs="Arial"/>
              </w:rPr>
            </w:pPr>
            <w:r w:rsidRPr="00B73187">
              <w:rPr>
                <w:rFonts w:cs="Arial"/>
              </w:rPr>
              <w:t>Quarter Two</w:t>
            </w:r>
          </w:p>
          <w:p w14:paraId="413AB3CE" w14:textId="77777777" w:rsidR="00D0161A" w:rsidRPr="00B73187" w:rsidRDefault="00D0161A" w:rsidP="00BE272F">
            <w:pPr>
              <w:jc w:val="both"/>
              <w:rPr>
                <w:rFonts w:cs="Arial"/>
              </w:rPr>
            </w:pPr>
            <w:r w:rsidRPr="00B73187">
              <w:rPr>
                <w:rFonts w:cs="Arial"/>
              </w:rPr>
              <w:t>1 April 2018 to 30 September 2018</w:t>
            </w:r>
          </w:p>
        </w:tc>
        <w:tc>
          <w:tcPr>
            <w:tcW w:w="2126" w:type="dxa"/>
          </w:tcPr>
          <w:p w14:paraId="0410B138" w14:textId="77777777" w:rsidR="00D0161A" w:rsidRPr="00240B08" w:rsidRDefault="00D0161A" w:rsidP="00BE272F">
            <w:pPr>
              <w:jc w:val="both"/>
              <w:rPr>
                <w:rFonts w:cs="Arial"/>
              </w:rPr>
            </w:pPr>
            <w:r w:rsidRPr="00240B08">
              <w:rPr>
                <w:rFonts w:cs="Arial"/>
              </w:rPr>
              <w:t>Quarter Three</w:t>
            </w:r>
          </w:p>
          <w:p w14:paraId="0F6B5A7C" w14:textId="77777777" w:rsidR="00D0161A" w:rsidRPr="00240B08" w:rsidRDefault="00D0161A" w:rsidP="00BE272F">
            <w:pPr>
              <w:jc w:val="both"/>
              <w:rPr>
                <w:rFonts w:cs="Arial"/>
              </w:rPr>
            </w:pPr>
            <w:r w:rsidRPr="00240B08">
              <w:rPr>
                <w:rFonts w:cs="Arial"/>
              </w:rPr>
              <w:t>1 April 2018 to 31 December 2018</w:t>
            </w:r>
          </w:p>
        </w:tc>
      </w:tr>
      <w:tr w:rsidR="00D0161A" w:rsidRPr="00B73187" w14:paraId="4F24EB70" w14:textId="77777777" w:rsidTr="002C560A">
        <w:tc>
          <w:tcPr>
            <w:tcW w:w="1764" w:type="dxa"/>
            <w:shd w:val="clear" w:color="auto" w:fill="auto"/>
          </w:tcPr>
          <w:p w14:paraId="1B4EAAD9" w14:textId="77777777" w:rsidR="00D0161A" w:rsidRPr="00B73187" w:rsidRDefault="00D0161A" w:rsidP="00BE272F">
            <w:pPr>
              <w:jc w:val="both"/>
              <w:rPr>
                <w:rFonts w:cs="Arial"/>
              </w:rPr>
            </w:pPr>
            <w:r w:rsidRPr="00B73187">
              <w:rPr>
                <w:rFonts w:cs="Arial"/>
              </w:rPr>
              <w:t>‘Green’</w:t>
            </w:r>
          </w:p>
        </w:tc>
        <w:tc>
          <w:tcPr>
            <w:tcW w:w="1809" w:type="dxa"/>
            <w:shd w:val="clear" w:color="auto" w:fill="auto"/>
          </w:tcPr>
          <w:p w14:paraId="33FD07B9" w14:textId="77777777" w:rsidR="00D0161A" w:rsidRPr="00B73187" w:rsidRDefault="00D0161A" w:rsidP="00BE272F">
            <w:pPr>
              <w:jc w:val="both"/>
              <w:rPr>
                <w:rFonts w:cs="Arial"/>
              </w:rPr>
            </w:pPr>
            <w:r w:rsidRPr="00B73187">
              <w:rPr>
                <w:rFonts w:cs="Arial"/>
              </w:rPr>
              <w:t>24</w:t>
            </w:r>
          </w:p>
        </w:tc>
        <w:tc>
          <w:tcPr>
            <w:tcW w:w="2126" w:type="dxa"/>
          </w:tcPr>
          <w:p w14:paraId="0D1E033A" w14:textId="77777777" w:rsidR="00D0161A" w:rsidRPr="00B73187" w:rsidRDefault="00D0161A" w:rsidP="00BE272F">
            <w:pPr>
              <w:jc w:val="both"/>
              <w:rPr>
                <w:rFonts w:cs="Arial"/>
              </w:rPr>
            </w:pPr>
            <w:r w:rsidRPr="00B73187">
              <w:rPr>
                <w:rFonts w:cs="Arial"/>
              </w:rPr>
              <w:t>21</w:t>
            </w:r>
          </w:p>
        </w:tc>
        <w:tc>
          <w:tcPr>
            <w:tcW w:w="2126" w:type="dxa"/>
          </w:tcPr>
          <w:p w14:paraId="536E7254" w14:textId="77777777" w:rsidR="00D0161A" w:rsidRPr="00240B08" w:rsidRDefault="00240B08" w:rsidP="00BE272F">
            <w:pPr>
              <w:jc w:val="both"/>
              <w:rPr>
                <w:rFonts w:cs="Arial"/>
              </w:rPr>
            </w:pPr>
            <w:r w:rsidRPr="00240B08">
              <w:rPr>
                <w:rFonts w:cs="Arial"/>
              </w:rPr>
              <w:t>1</w:t>
            </w:r>
            <w:r w:rsidR="00EB3FDD">
              <w:rPr>
                <w:rFonts w:cs="Arial"/>
              </w:rPr>
              <w:t>4</w:t>
            </w:r>
          </w:p>
        </w:tc>
      </w:tr>
      <w:tr w:rsidR="00D0161A" w:rsidRPr="00B73187" w14:paraId="32C285EC" w14:textId="77777777" w:rsidTr="002C560A">
        <w:tc>
          <w:tcPr>
            <w:tcW w:w="1764" w:type="dxa"/>
            <w:shd w:val="clear" w:color="auto" w:fill="auto"/>
          </w:tcPr>
          <w:p w14:paraId="5669093E" w14:textId="77777777" w:rsidR="00D0161A" w:rsidRPr="00B73187" w:rsidRDefault="00D0161A" w:rsidP="00BE272F">
            <w:pPr>
              <w:jc w:val="both"/>
              <w:rPr>
                <w:rFonts w:cs="Arial"/>
              </w:rPr>
            </w:pPr>
            <w:r w:rsidRPr="00B73187">
              <w:rPr>
                <w:rFonts w:cs="Arial"/>
              </w:rPr>
              <w:t>‘Amber/Green’</w:t>
            </w:r>
          </w:p>
        </w:tc>
        <w:tc>
          <w:tcPr>
            <w:tcW w:w="1809" w:type="dxa"/>
            <w:shd w:val="clear" w:color="auto" w:fill="auto"/>
          </w:tcPr>
          <w:p w14:paraId="16947C66" w14:textId="77777777" w:rsidR="00D0161A" w:rsidRPr="00B73187" w:rsidRDefault="00D0161A" w:rsidP="00BE272F">
            <w:pPr>
              <w:jc w:val="both"/>
              <w:rPr>
                <w:rFonts w:cs="Arial"/>
              </w:rPr>
            </w:pPr>
            <w:r w:rsidRPr="00B73187">
              <w:rPr>
                <w:rFonts w:cs="Arial"/>
              </w:rPr>
              <w:t>0</w:t>
            </w:r>
          </w:p>
        </w:tc>
        <w:tc>
          <w:tcPr>
            <w:tcW w:w="2126" w:type="dxa"/>
          </w:tcPr>
          <w:p w14:paraId="5975059B" w14:textId="77777777" w:rsidR="00D0161A" w:rsidRPr="00B73187" w:rsidRDefault="00D0161A" w:rsidP="00BE272F">
            <w:pPr>
              <w:jc w:val="both"/>
              <w:rPr>
                <w:rFonts w:cs="Arial"/>
              </w:rPr>
            </w:pPr>
            <w:r w:rsidRPr="00B73187">
              <w:rPr>
                <w:rFonts w:cs="Arial"/>
              </w:rPr>
              <w:t>1</w:t>
            </w:r>
          </w:p>
        </w:tc>
        <w:tc>
          <w:tcPr>
            <w:tcW w:w="2126" w:type="dxa"/>
          </w:tcPr>
          <w:p w14:paraId="7965001E" w14:textId="77777777" w:rsidR="00D0161A" w:rsidRPr="00240B08" w:rsidRDefault="005B6213" w:rsidP="00BE272F">
            <w:pPr>
              <w:jc w:val="both"/>
              <w:rPr>
                <w:rFonts w:cs="Arial"/>
              </w:rPr>
            </w:pPr>
            <w:r>
              <w:rPr>
                <w:rFonts w:cs="Arial"/>
              </w:rPr>
              <w:t>4</w:t>
            </w:r>
          </w:p>
        </w:tc>
      </w:tr>
      <w:tr w:rsidR="00D0161A" w:rsidRPr="00B73187" w14:paraId="54970314" w14:textId="77777777" w:rsidTr="002C560A">
        <w:tc>
          <w:tcPr>
            <w:tcW w:w="1764" w:type="dxa"/>
            <w:shd w:val="clear" w:color="auto" w:fill="auto"/>
          </w:tcPr>
          <w:p w14:paraId="6B986E7F" w14:textId="77777777" w:rsidR="00D0161A" w:rsidRPr="00B73187" w:rsidRDefault="00D0161A" w:rsidP="00BE272F">
            <w:pPr>
              <w:jc w:val="both"/>
              <w:rPr>
                <w:rFonts w:cs="Arial"/>
              </w:rPr>
            </w:pPr>
            <w:r w:rsidRPr="00B73187">
              <w:rPr>
                <w:rFonts w:cs="Arial"/>
              </w:rPr>
              <w:t>‘Amber’</w:t>
            </w:r>
          </w:p>
        </w:tc>
        <w:tc>
          <w:tcPr>
            <w:tcW w:w="1809" w:type="dxa"/>
            <w:shd w:val="clear" w:color="auto" w:fill="auto"/>
          </w:tcPr>
          <w:p w14:paraId="51D3EE14" w14:textId="77777777" w:rsidR="00D0161A" w:rsidRPr="00B73187" w:rsidRDefault="00D0161A" w:rsidP="00BE272F">
            <w:pPr>
              <w:jc w:val="both"/>
              <w:rPr>
                <w:rFonts w:cs="Arial"/>
              </w:rPr>
            </w:pPr>
            <w:r w:rsidRPr="00B73187">
              <w:rPr>
                <w:rFonts w:cs="Arial"/>
              </w:rPr>
              <w:t>3</w:t>
            </w:r>
          </w:p>
        </w:tc>
        <w:tc>
          <w:tcPr>
            <w:tcW w:w="2126" w:type="dxa"/>
          </w:tcPr>
          <w:p w14:paraId="4A615D7E" w14:textId="77777777" w:rsidR="00D0161A" w:rsidRPr="00B73187" w:rsidRDefault="00D0161A" w:rsidP="00BE272F">
            <w:pPr>
              <w:jc w:val="both"/>
              <w:rPr>
                <w:rFonts w:cs="Arial"/>
              </w:rPr>
            </w:pPr>
            <w:r w:rsidRPr="00B73187">
              <w:rPr>
                <w:rFonts w:cs="Arial"/>
              </w:rPr>
              <w:t>8</w:t>
            </w:r>
          </w:p>
        </w:tc>
        <w:tc>
          <w:tcPr>
            <w:tcW w:w="2126" w:type="dxa"/>
          </w:tcPr>
          <w:p w14:paraId="144C77A7" w14:textId="77777777" w:rsidR="00D0161A" w:rsidRPr="00240B08" w:rsidRDefault="005B6213" w:rsidP="00BE272F">
            <w:pPr>
              <w:jc w:val="both"/>
              <w:rPr>
                <w:rFonts w:cs="Arial"/>
              </w:rPr>
            </w:pPr>
            <w:r>
              <w:rPr>
                <w:rFonts w:cs="Arial"/>
              </w:rPr>
              <w:t>9</w:t>
            </w:r>
          </w:p>
        </w:tc>
      </w:tr>
      <w:tr w:rsidR="00D0161A" w:rsidRPr="00B73187" w14:paraId="279C709A" w14:textId="77777777" w:rsidTr="002C560A">
        <w:tc>
          <w:tcPr>
            <w:tcW w:w="1764" w:type="dxa"/>
            <w:shd w:val="clear" w:color="auto" w:fill="auto"/>
          </w:tcPr>
          <w:p w14:paraId="405E060F" w14:textId="77777777" w:rsidR="00D0161A" w:rsidRPr="00B73187" w:rsidRDefault="00D0161A" w:rsidP="00BE272F">
            <w:pPr>
              <w:jc w:val="both"/>
              <w:rPr>
                <w:rFonts w:cs="Arial"/>
              </w:rPr>
            </w:pPr>
            <w:r w:rsidRPr="00B73187">
              <w:rPr>
                <w:rFonts w:cs="Arial"/>
              </w:rPr>
              <w:t>‘Red/Amber’</w:t>
            </w:r>
          </w:p>
        </w:tc>
        <w:tc>
          <w:tcPr>
            <w:tcW w:w="1809" w:type="dxa"/>
            <w:shd w:val="clear" w:color="auto" w:fill="auto"/>
          </w:tcPr>
          <w:p w14:paraId="721B4796" w14:textId="77777777" w:rsidR="00D0161A" w:rsidRPr="00B73187" w:rsidRDefault="00D0161A" w:rsidP="00BE272F">
            <w:pPr>
              <w:jc w:val="both"/>
              <w:rPr>
                <w:rFonts w:cs="Arial"/>
              </w:rPr>
            </w:pPr>
            <w:r w:rsidRPr="00B73187">
              <w:rPr>
                <w:rFonts w:cs="Arial"/>
              </w:rPr>
              <w:t>2</w:t>
            </w:r>
          </w:p>
        </w:tc>
        <w:tc>
          <w:tcPr>
            <w:tcW w:w="2126" w:type="dxa"/>
          </w:tcPr>
          <w:p w14:paraId="1B96330A" w14:textId="77777777" w:rsidR="00D0161A" w:rsidRPr="00B73187" w:rsidRDefault="00D0161A" w:rsidP="00BE272F">
            <w:pPr>
              <w:jc w:val="both"/>
              <w:rPr>
                <w:rFonts w:cs="Arial"/>
              </w:rPr>
            </w:pPr>
            <w:r w:rsidRPr="00B73187">
              <w:rPr>
                <w:rFonts w:cs="Arial"/>
              </w:rPr>
              <w:t>2</w:t>
            </w:r>
          </w:p>
        </w:tc>
        <w:tc>
          <w:tcPr>
            <w:tcW w:w="2126" w:type="dxa"/>
          </w:tcPr>
          <w:p w14:paraId="6C30CFAF" w14:textId="77777777" w:rsidR="00D0161A" w:rsidRPr="00240B08" w:rsidRDefault="00240B08" w:rsidP="00BE272F">
            <w:pPr>
              <w:jc w:val="both"/>
              <w:rPr>
                <w:rFonts w:cs="Arial"/>
              </w:rPr>
            </w:pPr>
            <w:r w:rsidRPr="00240B08">
              <w:rPr>
                <w:rFonts w:cs="Arial"/>
              </w:rPr>
              <w:t>2</w:t>
            </w:r>
          </w:p>
        </w:tc>
      </w:tr>
      <w:tr w:rsidR="00D0161A" w:rsidRPr="00B73187" w14:paraId="58F4B012" w14:textId="77777777" w:rsidTr="002C560A">
        <w:tc>
          <w:tcPr>
            <w:tcW w:w="1764" w:type="dxa"/>
            <w:shd w:val="clear" w:color="auto" w:fill="auto"/>
          </w:tcPr>
          <w:p w14:paraId="37987985" w14:textId="77777777" w:rsidR="00D0161A" w:rsidRPr="00C3689F" w:rsidRDefault="00D0161A" w:rsidP="00BE272F">
            <w:pPr>
              <w:jc w:val="both"/>
              <w:rPr>
                <w:rFonts w:cs="Arial"/>
              </w:rPr>
            </w:pPr>
            <w:r w:rsidRPr="00C3689F">
              <w:rPr>
                <w:rFonts w:cs="Arial"/>
              </w:rPr>
              <w:t>‘Red’</w:t>
            </w:r>
          </w:p>
        </w:tc>
        <w:tc>
          <w:tcPr>
            <w:tcW w:w="1809" w:type="dxa"/>
            <w:shd w:val="clear" w:color="auto" w:fill="auto"/>
          </w:tcPr>
          <w:p w14:paraId="6F7AB848" w14:textId="77777777" w:rsidR="00D0161A" w:rsidRPr="00C3689F" w:rsidRDefault="00D0161A" w:rsidP="00BE272F">
            <w:pPr>
              <w:jc w:val="both"/>
              <w:rPr>
                <w:rFonts w:cs="Arial"/>
              </w:rPr>
            </w:pPr>
            <w:r w:rsidRPr="00C3689F">
              <w:rPr>
                <w:rFonts w:cs="Arial"/>
              </w:rPr>
              <w:t>0</w:t>
            </w:r>
          </w:p>
        </w:tc>
        <w:tc>
          <w:tcPr>
            <w:tcW w:w="2126" w:type="dxa"/>
          </w:tcPr>
          <w:p w14:paraId="51FCA19C" w14:textId="77777777" w:rsidR="00D0161A" w:rsidRPr="00C3689F" w:rsidRDefault="00D0161A" w:rsidP="00BE272F">
            <w:pPr>
              <w:jc w:val="both"/>
              <w:rPr>
                <w:rFonts w:cs="Arial"/>
              </w:rPr>
            </w:pPr>
            <w:r w:rsidRPr="00C3689F">
              <w:rPr>
                <w:rFonts w:cs="Arial"/>
              </w:rPr>
              <w:t>1</w:t>
            </w:r>
          </w:p>
        </w:tc>
        <w:tc>
          <w:tcPr>
            <w:tcW w:w="2126" w:type="dxa"/>
          </w:tcPr>
          <w:p w14:paraId="63D0B676" w14:textId="77777777" w:rsidR="00D0161A" w:rsidRPr="00C3689F" w:rsidRDefault="00567CF2" w:rsidP="00BE272F">
            <w:pPr>
              <w:jc w:val="both"/>
              <w:rPr>
                <w:rFonts w:cs="Arial"/>
              </w:rPr>
            </w:pPr>
            <w:r>
              <w:rPr>
                <w:rFonts w:cs="Arial"/>
              </w:rPr>
              <w:t>4</w:t>
            </w:r>
          </w:p>
        </w:tc>
      </w:tr>
      <w:tr w:rsidR="00C3689F" w:rsidRPr="00B73187" w14:paraId="003BE1E1" w14:textId="77777777" w:rsidTr="002C560A">
        <w:tc>
          <w:tcPr>
            <w:tcW w:w="1764" w:type="dxa"/>
            <w:shd w:val="clear" w:color="auto" w:fill="auto"/>
          </w:tcPr>
          <w:p w14:paraId="3E138F43" w14:textId="77777777" w:rsidR="00C3689F" w:rsidRPr="00C3689F" w:rsidRDefault="00C3689F" w:rsidP="00BE272F">
            <w:pPr>
              <w:jc w:val="both"/>
              <w:rPr>
                <w:rFonts w:cs="Arial"/>
              </w:rPr>
            </w:pPr>
            <w:r w:rsidRPr="00C3689F">
              <w:rPr>
                <w:rFonts w:cs="Arial"/>
              </w:rPr>
              <w:t>On hold</w:t>
            </w:r>
          </w:p>
        </w:tc>
        <w:tc>
          <w:tcPr>
            <w:tcW w:w="1809" w:type="dxa"/>
            <w:shd w:val="clear" w:color="auto" w:fill="auto"/>
          </w:tcPr>
          <w:p w14:paraId="0F6BC653" w14:textId="77777777" w:rsidR="00C3689F" w:rsidRPr="00C3689F" w:rsidRDefault="00C3689F" w:rsidP="00BE272F">
            <w:pPr>
              <w:jc w:val="both"/>
              <w:rPr>
                <w:rFonts w:cs="Arial"/>
              </w:rPr>
            </w:pPr>
          </w:p>
        </w:tc>
        <w:tc>
          <w:tcPr>
            <w:tcW w:w="2126" w:type="dxa"/>
          </w:tcPr>
          <w:p w14:paraId="34A40E7B" w14:textId="77777777" w:rsidR="00C3689F" w:rsidRPr="00C3689F" w:rsidRDefault="00C3689F" w:rsidP="00BE272F">
            <w:pPr>
              <w:jc w:val="both"/>
              <w:rPr>
                <w:rFonts w:cs="Arial"/>
              </w:rPr>
            </w:pPr>
          </w:p>
        </w:tc>
        <w:tc>
          <w:tcPr>
            <w:tcW w:w="2126" w:type="dxa"/>
          </w:tcPr>
          <w:p w14:paraId="14CC6498" w14:textId="77777777" w:rsidR="00C3689F" w:rsidRPr="00C3689F" w:rsidRDefault="00C3689F" w:rsidP="00BE272F">
            <w:pPr>
              <w:jc w:val="both"/>
              <w:rPr>
                <w:rFonts w:cs="Arial"/>
              </w:rPr>
            </w:pPr>
            <w:r w:rsidRPr="00C3689F">
              <w:rPr>
                <w:rFonts w:cs="Arial"/>
              </w:rPr>
              <w:t>1</w:t>
            </w:r>
          </w:p>
        </w:tc>
      </w:tr>
      <w:tr w:rsidR="00D0161A" w:rsidRPr="00B73187" w14:paraId="2F027859" w14:textId="77777777" w:rsidTr="002C560A">
        <w:tc>
          <w:tcPr>
            <w:tcW w:w="1764" w:type="dxa"/>
            <w:shd w:val="clear" w:color="auto" w:fill="auto"/>
          </w:tcPr>
          <w:p w14:paraId="1455333B" w14:textId="77777777" w:rsidR="00D0161A" w:rsidRPr="00B73187" w:rsidRDefault="00D0161A" w:rsidP="00BE272F">
            <w:pPr>
              <w:jc w:val="both"/>
              <w:rPr>
                <w:rFonts w:cs="Arial"/>
              </w:rPr>
            </w:pPr>
            <w:r w:rsidRPr="00B73187">
              <w:rPr>
                <w:rFonts w:cs="Arial"/>
              </w:rPr>
              <w:t>See detail</w:t>
            </w:r>
          </w:p>
        </w:tc>
        <w:tc>
          <w:tcPr>
            <w:tcW w:w="1809" w:type="dxa"/>
            <w:shd w:val="clear" w:color="auto" w:fill="auto"/>
          </w:tcPr>
          <w:p w14:paraId="239B24A5" w14:textId="77777777" w:rsidR="00D0161A" w:rsidRPr="00B73187" w:rsidRDefault="00D0161A" w:rsidP="00BE272F">
            <w:pPr>
              <w:jc w:val="both"/>
              <w:rPr>
                <w:rFonts w:cs="Arial"/>
              </w:rPr>
            </w:pPr>
            <w:r w:rsidRPr="00B73187">
              <w:rPr>
                <w:rFonts w:cs="Arial"/>
              </w:rPr>
              <w:t>6</w:t>
            </w:r>
          </w:p>
        </w:tc>
        <w:tc>
          <w:tcPr>
            <w:tcW w:w="2126" w:type="dxa"/>
          </w:tcPr>
          <w:p w14:paraId="11D9975B" w14:textId="77777777" w:rsidR="00D0161A" w:rsidRPr="00B73187" w:rsidRDefault="00D0161A" w:rsidP="00BE272F">
            <w:pPr>
              <w:jc w:val="both"/>
              <w:rPr>
                <w:rFonts w:cs="Arial"/>
              </w:rPr>
            </w:pPr>
            <w:r w:rsidRPr="00B73187">
              <w:rPr>
                <w:rFonts w:cs="Arial"/>
              </w:rPr>
              <w:t>2</w:t>
            </w:r>
          </w:p>
        </w:tc>
        <w:tc>
          <w:tcPr>
            <w:tcW w:w="2126" w:type="dxa"/>
          </w:tcPr>
          <w:p w14:paraId="639039B3" w14:textId="77777777" w:rsidR="00D0161A" w:rsidRPr="00240B08" w:rsidRDefault="00240B08" w:rsidP="00BE272F">
            <w:pPr>
              <w:jc w:val="both"/>
              <w:rPr>
                <w:rFonts w:cs="Arial"/>
              </w:rPr>
            </w:pPr>
            <w:r w:rsidRPr="00240B08">
              <w:rPr>
                <w:rFonts w:cs="Arial"/>
              </w:rPr>
              <w:t>1</w:t>
            </w:r>
          </w:p>
        </w:tc>
      </w:tr>
      <w:tr w:rsidR="00D0161A" w:rsidRPr="00617615" w14:paraId="5D29FF75" w14:textId="77777777" w:rsidTr="002C560A">
        <w:tc>
          <w:tcPr>
            <w:tcW w:w="1764" w:type="dxa"/>
            <w:shd w:val="clear" w:color="auto" w:fill="auto"/>
          </w:tcPr>
          <w:p w14:paraId="0CCFAC87" w14:textId="77777777" w:rsidR="00D0161A" w:rsidRPr="00B73187" w:rsidRDefault="00D0161A" w:rsidP="00BE272F">
            <w:pPr>
              <w:jc w:val="both"/>
              <w:rPr>
                <w:rFonts w:cs="Arial"/>
              </w:rPr>
            </w:pPr>
            <w:r w:rsidRPr="00B73187">
              <w:rPr>
                <w:rFonts w:cs="Arial"/>
              </w:rPr>
              <w:t>Total</w:t>
            </w:r>
          </w:p>
        </w:tc>
        <w:tc>
          <w:tcPr>
            <w:tcW w:w="1809" w:type="dxa"/>
            <w:shd w:val="clear" w:color="auto" w:fill="auto"/>
          </w:tcPr>
          <w:p w14:paraId="161A6161" w14:textId="77777777" w:rsidR="00D0161A" w:rsidRPr="00B73187" w:rsidRDefault="00D0161A" w:rsidP="00BE272F">
            <w:pPr>
              <w:jc w:val="both"/>
              <w:rPr>
                <w:rFonts w:cs="Arial"/>
              </w:rPr>
            </w:pPr>
            <w:r w:rsidRPr="00B73187">
              <w:rPr>
                <w:rFonts w:cs="Arial"/>
              </w:rPr>
              <w:t>35</w:t>
            </w:r>
          </w:p>
        </w:tc>
        <w:tc>
          <w:tcPr>
            <w:tcW w:w="2126" w:type="dxa"/>
          </w:tcPr>
          <w:p w14:paraId="0D1691C5" w14:textId="77777777" w:rsidR="00D0161A" w:rsidRPr="00B73187" w:rsidRDefault="00D0161A" w:rsidP="00BE272F">
            <w:pPr>
              <w:jc w:val="both"/>
              <w:rPr>
                <w:rFonts w:cs="Arial"/>
              </w:rPr>
            </w:pPr>
            <w:r w:rsidRPr="00B73187">
              <w:rPr>
                <w:rFonts w:cs="Arial"/>
              </w:rPr>
              <w:t>35</w:t>
            </w:r>
          </w:p>
        </w:tc>
        <w:tc>
          <w:tcPr>
            <w:tcW w:w="2126" w:type="dxa"/>
          </w:tcPr>
          <w:p w14:paraId="35E2E9A4" w14:textId="77777777" w:rsidR="00D0161A" w:rsidRPr="00240B08" w:rsidRDefault="00240B08" w:rsidP="00BE272F">
            <w:pPr>
              <w:jc w:val="both"/>
              <w:rPr>
                <w:rFonts w:cs="Arial"/>
              </w:rPr>
            </w:pPr>
            <w:r w:rsidRPr="00240B08">
              <w:rPr>
                <w:rFonts w:cs="Arial"/>
              </w:rPr>
              <w:t>35</w:t>
            </w:r>
          </w:p>
        </w:tc>
      </w:tr>
    </w:tbl>
    <w:p w14:paraId="2F3A2544" w14:textId="77777777" w:rsidR="001F6CEC" w:rsidRPr="00B73187" w:rsidRDefault="001F6CEC" w:rsidP="00BE272F">
      <w:pPr>
        <w:jc w:val="both"/>
        <w:rPr>
          <w:rFonts w:cs="Arial"/>
        </w:rPr>
      </w:pPr>
    </w:p>
    <w:p w14:paraId="64B45B8C" w14:textId="77777777" w:rsidR="00D0161A" w:rsidRPr="00B73187" w:rsidRDefault="00D0161A" w:rsidP="00BE272F">
      <w:pPr>
        <w:numPr>
          <w:ilvl w:val="0"/>
          <w:numId w:val="17"/>
        </w:numPr>
        <w:ind w:left="567" w:hanging="567"/>
        <w:jc w:val="both"/>
        <w:rPr>
          <w:rFonts w:cs="Arial"/>
        </w:rPr>
      </w:pPr>
      <w:r w:rsidRPr="00B73187">
        <w:rPr>
          <w:rFonts w:cs="Arial"/>
        </w:rPr>
        <w:t>The Board is requested to scrutinise the performance report for quarter three of 2018/19, and specifically consider:</w:t>
      </w:r>
    </w:p>
    <w:p w14:paraId="7628EC63" w14:textId="77777777" w:rsidR="00D0161A" w:rsidRPr="00B73187" w:rsidRDefault="00D0161A" w:rsidP="00BE272F">
      <w:pPr>
        <w:numPr>
          <w:ilvl w:val="0"/>
          <w:numId w:val="20"/>
        </w:numPr>
        <w:ind w:left="993" w:hanging="426"/>
        <w:jc w:val="both"/>
        <w:rPr>
          <w:rFonts w:cs="Arial"/>
        </w:rPr>
      </w:pPr>
      <w:r w:rsidRPr="00B73187">
        <w:rPr>
          <w:rFonts w:cs="Arial"/>
        </w:rPr>
        <w:t>The adequacy of the supporting explanation for each measure and how recent legislation has changed how we work</w:t>
      </w:r>
      <w:r w:rsidR="000F26C5">
        <w:rPr>
          <w:rFonts w:cs="Arial"/>
        </w:rPr>
        <w:t>.</w:t>
      </w:r>
    </w:p>
    <w:p w14:paraId="1B018CB3" w14:textId="77777777" w:rsidR="00D0161A" w:rsidRPr="00B73187" w:rsidRDefault="00D0161A" w:rsidP="00BE272F">
      <w:pPr>
        <w:numPr>
          <w:ilvl w:val="0"/>
          <w:numId w:val="20"/>
        </w:numPr>
        <w:ind w:left="993" w:hanging="426"/>
        <w:jc w:val="both"/>
        <w:rPr>
          <w:rFonts w:cs="Arial"/>
        </w:rPr>
      </w:pPr>
      <w:r w:rsidRPr="00B73187">
        <w:rPr>
          <w:rFonts w:cs="Arial"/>
        </w:rPr>
        <w:t>The action taken and planned.</w:t>
      </w:r>
    </w:p>
    <w:p w14:paraId="257F76E3" w14:textId="77777777" w:rsidR="00D0161A" w:rsidRPr="00B73187" w:rsidRDefault="00D0161A" w:rsidP="00BE272F">
      <w:pPr>
        <w:ind w:left="720"/>
        <w:jc w:val="both"/>
        <w:rPr>
          <w:rFonts w:cs="Arial"/>
        </w:rPr>
      </w:pPr>
    </w:p>
    <w:p w14:paraId="26009D5C" w14:textId="77777777" w:rsidR="00D0161A" w:rsidRPr="00B73187" w:rsidRDefault="00D0161A" w:rsidP="002D6CE5">
      <w:pPr>
        <w:numPr>
          <w:ilvl w:val="0"/>
          <w:numId w:val="17"/>
        </w:numPr>
        <w:ind w:left="567" w:hanging="567"/>
        <w:jc w:val="both"/>
        <w:rPr>
          <w:rFonts w:cs="Arial"/>
        </w:rPr>
      </w:pPr>
      <w:r w:rsidRPr="00B73187">
        <w:rPr>
          <w:rFonts w:cs="Arial"/>
        </w:rPr>
        <w:t>The Board is asked to note the following items from the performance report</w:t>
      </w:r>
      <w:r w:rsidR="002D6CE5">
        <w:rPr>
          <w:rFonts w:cs="Arial"/>
        </w:rPr>
        <w:t>:</w:t>
      </w:r>
    </w:p>
    <w:p w14:paraId="00A1A36C" w14:textId="77777777" w:rsidR="00D0161A" w:rsidRPr="00617615" w:rsidRDefault="00D0161A" w:rsidP="00BE272F">
      <w:pPr>
        <w:jc w:val="both"/>
        <w:rPr>
          <w:rFonts w:cs="Arial"/>
          <w:highlight w:val="yellow"/>
        </w:rPr>
      </w:pPr>
    </w:p>
    <w:p w14:paraId="54072745" w14:textId="77777777" w:rsidR="00320176" w:rsidRDefault="00D0161A" w:rsidP="002D6CE5">
      <w:pPr>
        <w:numPr>
          <w:ilvl w:val="0"/>
          <w:numId w:val="19"/>
        </w:numPr>
        <w:ind w:left="993" w:hanging="426"/>
        <w:jc w:val="both"/>
        <w:rPr>
          <w:rFonts w:cs="Arial"/>
        </w:rPr>
      </w:pPr>
      <w:r w:rsidRPr="002D6CE5">
        <w:rPr>
          <w:rFonts w:cs="Arial"/>
          <w:b/>
        </w:rPr>
        <w:t>Red - Monitoring and addressing tree and plant health</w:t>
      </w:r>
      <w:r w:rsidRPr="0025166D">
        <w:rPr>
          <w:rFonts w:cs="Arial"/>
        </w:rPr>
        <w:t xml:space="preserve"> –</w:t>
      </w:r>
      <w:r w:rsidRPr="0025166D">
        <w:rPr>
          <w:rFonts w:cs="Arial"/>
          <w:i/>
        </w:rPr>
        <w:t xml:space="preserve">P </w:t>
      </w:r>
      <w:proofErr w:type="spellStart"/>
      <w:r w:rsidRPr="0025166D">
        <w:rPr>
          <w:rFonts w:cs="Arial"/>
          <w:i/>
        </w:rPr>
        <w:t>ramorum</w:t>
      </w:r>
      <w:proofErr w:type="spellEnd"/>
      <w:r w:rsidRPr="0025166D">
        <w:rPr>
          <w:rFonts w:cs="Arial"/>
        </w:rPr>
        <w:t xml:space="preserve"> is the most serious tree disease problem to have affected forests in Wales. Over the past few years it has spread very rapidly and is now causing very serious economic, social and environmental impacts.  The control measures through the Statutory Notice is a legal requirement for the protection of plants from harmful pests and diseases by preventing disease introduction or spread. We have been managing the disease using Statutory Notices</w:t>
      </w:r>
      <w:r w:rsidR="002D6CE5">
        <w:rPr>
          <w:rFonts w:cs="Arial"/>
        </w:rPr>
        <w:t xml:space="preserve"> since 2010. To date over 8,000</w:t>
      </w:r>
      <w:r w:rsidRPr="0025166D">
        <w:rPr>
          <w:rFonts w:cs="Arial"/>
        </w:rPr>
        <w:t xml:space="preserve">ha of larch on the Welsh Government Woodland Estate have been placed under some form of Statutory Notice. We will continue to regulate the disease in the manner noted in Welsh Government’s </w:t>
      </w:r>
      <w:r w:rsidRPr="0025166D">
        <w:rPr>
          <w:rFonts w:cs="Arial"/>
          <w:i/>
        </w:rPr>
        <w:t xml:space="preserve">Phytophthora </w:t>
      </w:r>
      <w:proofErr w:type="spellStart"/>
      <w:r w:rsidRPr="0025166D">
        <w:rPr>
          <w:rFonts w:cs="Arial"/>
          <w:i/>
        </w:rPr>
        <w:t>ramorum</w:t>
      </w:r>
      <w:proofErr w:type="spellEnd"/>
      <w:r w:rsidRPr="0025166D">
        <w:rPr>
          <w:rFonts w:cs="Arial"/>
        </w:rPr>
        <w:t xml:space="preserve"> in Wales - Disease Management Strategy. The 90% target for notices to be issued within 30 days of disease confirmation has not been met; it is cu</w:t>
      </w:r>
      <w:r w:rsidR="0025166D" w:rsidRPr="0025166D">
        <w:rPr>
          <w:rFonts w:cs="Arial"/>
        </w:rPr>
        <w:t>rrently 52</w:t>
      </w:r>
      <w:r w:rsidRPr="0025166D">
        <w:rPr>
          <w:rFonts w:cs="Arial"/>
        </w:rPr>
        <w:t>%.</w:t>
      </w:r>
    </w:p>
    <w:p w14:paraId="317A7562" w14:textId="77777777" w:rsidR="002D6CE5" w:rsidRPr="0025166D" w:rsidRDefault="002D6CE5" w:rsidP="002D6CE5">
      <w:pPr>
        <w:ind w:left="993"/>
        <w:jc w:val="both"/>
        <w:rPr>
          <w:rFonts w:cs="Arial"/>
        </w:rPr>
      </w:pPr>
    </w:p>
    <w:p w14:paraId="41F60472" w14:textId="77777777" w:rsidR="00320176" w:rsidRDefault="00320176" w:rsidP="002D6CE5">
      <w:pPr>
        <w:numPr>
          <w:ilvl w:val="0"/>
          <w:numId w:val="19"/>
        </w:numPr>
        <w:ind w:left="993" w:hanging="426"/>
        <w:jc w:val="both"/>
      </w:pPr>
      <w:r w:rsidRPr="002D6CE5">
        <w:rPr>
          <w:b/>
        </w:rPr>
        <w:t>Red – Incident Response</w:t>
      </w:r>
      <w:r w:rsidRPr="0025166D">
        <w:t xml:space="preserve"> – </w:t>
      </w:r>
      <w:r w:rsidR="006D6A0D">
        <w:t xml:space="preserve">This measure was subject of the first </w:t>
      </w:r>
      <w:r w:rsidR="000F26C5">
        <w:t>Board</w:t>
      </w:r>
      <w:r w:rsidR="006D6A0D">
        <w:t xml:space="preserve"> deep dive of </w:t>
      </w:r>
      <w:r w:rsidR="006D6A0D" w:rsidRPr="00C222FD">
        <w:t xml:space="preserve">performance assessment in January 2019.  </w:t>
      </w:r>
      <w:r w:rsidR="0025166D" w:rsidRPr="00C222FD">
        <w:t xml:space="preserve">This has been a challenging quarter with resources being diverted to help with the new Organisation Design, responding to numerous incidents as well as undertaking routine activity. </w:t>
      </w:r>
    </w:p>
    <w:p w14:paraId="16156D12" w14:textId="77777777" w:rsidR="002D6CE5" w:rsidRPr="00C222FD" w:rsidRDefault="002D6CE5" w:rsidP="002D6CE5">
      <w:pPr>
        <w:jc w:val="both"/>
      </w:pPr>
    </w:p>
    <w:p w14:paraId="4F061558" w14:textId="77777777" w:rsidR="006A3790" w:rsidRPr="002D6CE5" w:rsidRDefault="006A3790" w:rsidP="002D6CE5">
      <w:pPr>
        <w:numPr>
          <w:ilvl w:val="0"/>
          <w:numId w:val="19"/>
        </w:numPr>
        <w:ind w:left="993" w:hanging="426"/>
        <w:jc w:val="both"/>
      </w:pPr>
      <w:r w:rsidRPr="002D6CE5">
        <w:rPr>
          <w:b/>
        </w:rPr>
        <w:t>Red - River restoration plans</w:t>
      </w:r>
      <w:r w:rsidR="00C222FD" w:rsidRPr="00C222FD">
        <w:t xml:space="preserve"> – A </w:t>
      </w:r>
      <w:r w:rsidR="00C222FD" w:rsidRPr="00C222FD">
        <w:rPr>
          <w:rFonts w:cs="Arial"/>
        </w:rPr>
        <w:t>total of five plans have now been commissioned.  We have fallen short on scheduled delivery because of other business priorities.  We will have nine completed plans by Q2 of 2019/20 and will be agreeing priorities for four more.</w:t>
      </w:r>
    </w:p>
    <w:p w14:paraId="376DA796" w14:textId="77777777" w:rsidR="002D6CE5" w:rsidRDefault="002D6CE5" w:rsidP="002D6CE5">
      <w:pPr>
        <w:pStyle w:val="ListParagraph"/>
      </w:pPr>
    </w:p>
    <w:p w14:paraId="04C2FE70" w14:textId="77777777" w:rsidR="0025166D" w:rsidRDefault="00320176" w:rsidP="002D6CE5">
      <w:pPr>
        <w:numPr>
          <w:ilvl w:val="0"/>
          <w:numId w:val="19"/>
        </w:numPr>
        <w:ind w:left="993" w:hanging="426"/>
        <w:jc w:val="both"/>
      </w:pPr>
      <w:r w:rsidRPr="002D6CE5">
        <w:rPr>
          <w:b/>
        </w:rPr>
        <w:t>Red – Impact of industry and waste sites</w:t>
      </w:r>
      <w:r w:rsidRPr="00C222FD">
        <w:t xml:space="preserve"> – The number of poorly performing waste and industry</w:t>
      </w:r>
      <w:r w:rsidRPr="0025166D">
        <w:t xml:space="preserve"> sites has </w:t>
      </w:r>
      <w:proofErr w:type="gramStart"/>
      <w:r w:rsidRPr="0025166D">
        <w:t>increased</w:t>
      </w:r>
      <w:r w:rsidR="000F26C5">
        <w:t>,</w:t>
      </w:r>
      <w:proofErr w:type="gramEnd"/>
      <w:r w:rsidRPr="0025166D">
        <w:t xml:space="preserve"> however, </w:t>
      </w:r>
      <w:r w:rsidR="0025166D">
        <w:t>p</w:t>
      </w:r>
      <w:r w:rsidR="0025166D" w:rsidRPr="0025166D">
        <w:t xml:space="preserve">oorly performing industry and waste sites have plans in place to address specific problems at the sites. </w:t>
      </w:r>
      <w:r w:rsidR="0025166D" w:rsidRPr="0025166D">
        <w:lastRenderedPageBreak/>
        <w:t xml:space="preserve">Enforcement notices have been issued to two industry sites where serious non-compliance has been </w:t>
      </w:r>
      <w:r w:rsidR="0025166D" w:rsidRPr="00D54D88">
        <w:t xml:space="preserve">identified with the potential to cause significant pollution.  Significant investment is planned at </w:t>
      </w:r>
      <w:proofErr w:type="gramStart"/>
      <w:r w:rsidR="0025166D" w:rsidRPr="00D54D88">
        <w:t>a number of</w:t>
      </w:r>
      <w:proofErr w:type="gramEnd"/>
      <w:r w:rsidR="0025166D" w:rsidRPr="00D54D88">
        <w:t xml:space="preserve"> sites which should be evident in improved performance in 2019.</w:t>
      </w:r>
    </w:p>
    <w:p w14:paraId="47A7B31A" w14:textId="77777777" w:rsidR="002D6CE5" w:rsidRDefault="002D6CE5" w:rsidP="002D6CE5">
      <w:pPr>
        <w:pStyle w:val="ListParagraph"/>
      </w:pPr>
    </w:p>
    <w:p w14:paraId="078ED0EE" w14:textId="77777777" w:rsidR="002D6CE5" w:rsidRDefault="00D0161A" w:rsidP="002D6CE5">
      <w:pPr>
        <w:pStyle w:val="ListParagraph"/>
        <w:numPr>
          <w:ilvl w:val="0"/>
          <w:numId w:val="19"/>
        </w:numPr>
        <w:spacing w:after="160" w:line="256" w:lineRule="auto"/>
        <w:ind w:left="993" w:hanging="426"/>
        <w:jc w:val="both"/>
      </w:pPr>
      <w:r w:rsidRPr="002D6CE5">
        <w:rPr>
          <w:b/>
        </w:rPr>
        <w:t>Red/Amber - Reservoir programme</w:t>
      </w:r>
      <w:r w:rsidRPr="00D54D88">
        <w:t xml:space="preserve"> –</w:t>
      </w:r>
      <w:r w:rsidR="005B3580">
        <w:t xml:space="preserve"> </w:t>
      </w:r>
      <w:r w:rsidR="00D54D88" w:rsidRPr="00D54D88">
        <w:t xml:space="preserve">The breaches predominantly refer to a lack of surveillance visits. Whilst one site </w:t>
      </w:r>
      <w:r w:rsidR="000F26C5">
        <w:t xml:space="preserve">was </w:t>
      </w:r>
      <w:r w:rsidR="00D54D88" w:rsidRPr="00D54D88">
        <w:t xml:space="preserve">resolved during the period, another was reported to be in breach. Remote monitoring is being installed to assist prioritisation of staff visits. A programme is in place to address all </w:t>
      </w:r>
      <w:r w:rsidR="000F26C5">
        <w:t>“</w:t>
      </w:r>
      <w:r w:rsidR="00D54D88" w:rsidRPr="00D54D88">
        <w:t>M</w:t>
      </w:r>
      <w:r w:rsidR="000F26C5">
        <w:t xml:space="preserve">easures </w:t>
      </w:r>
      <w:proofErr w:type="gramStart"/>
      <w:r w:rsidR="000F26C5">
        <w:t>In</w:t>
      </w:r>
      <w:proofErr w:type="gramEnd"/>
      <w:r w:rsidR="000F26C5">
        <w:t xml:space="preserve"> The Interest Of </w:t>
      </w:r>
      <w:proofErr w:type="spellStart"/>
      <w:r w:rsidR="000F26C5">
        <w:t>Safery</w:t>
      </w:r>
      <w:proofErr w:type="spellEnd"/>
      <w:r w:rsidR="000F26C5">
        <w:t>”</w:t>
      </w:r>
      <w:r w:rsidR="00D54D88" w:rsidRPr="00D54D88">
        <w:t xml:space="preserve"> including non-statutory items to reduce future liability.</w:t>
      </w:r>
    </w:p>
    <w:p w14:paraId="0CF1DDD5" w14:textId="77777777" w:rsidR="002D6CE5" w:rsidRDefault="002D6CE5" w:rsidP="002D6CE5">
      <w:pPr>
        <w:pStyle w:val="ListParagraph"/>
      </w:pPr>
    </w:p>
    <w:p w14:paraId="35D7DDAA" w14:textId="77777777" w:rsidR="005F742E" w:rsidRDefault="00320176" w:rsidP="002D6CE5">
      <w:pPr>
        <w:pStyle w:val="ListParagraph"/>
        <w:numPr>
          <w:ilvl w:val="0"/>
          <w:numId w:val="19"/>
        </w:numPr>
        <w:spacing w:after="160" w:line="256" w:lineRule="auto"/>
        <w:ind w:left="993" w:hanging="426"/>
        <w:jc w:val="both"/>
      </w:pPr>
      <w:r w:rsidRPr="002D6CE5">
        <w:rPr>
          <w:b/>
        </w:rPr>
        <w:t>Red/</w:t>
      </w:r>
      <w:r w:rsidR="00D0161A" w:rsidRPr="002D6CE5">
        <w:rPr>
          <w:b/>
        </w:rPr>
        <w:t xml:space="preserve">Amber – Implement River Basin Management Plans </w:t>
      </w:r>
      <w:r w:rsidR="000F26C5" w:rsidRPr="002D6CE5">
        <w:rPr>
          <w:b/>
        </w:rPr>
        <w:t>(RBMP)</w:t>
      </w:r>
      <w:r w:rsidR="00D0161A" w:rsidRPr="00320176">
        <w:t xml:space="preserve">- </w:t>
      </w:r>
      <w:r w:rsidR="002D6CE5">
        <w:t>For</w:t>
      </w:r>
      <w:r w:rsidR="005F742E" w:rsidRPr="005F742E">
        <w:t xml:space="preserve"> local measures we have not been able to complete the target by December 2018 </w:t>
      </w:r>
      <w:r w:rsidR="005F742E" w:rsidRPr="00B8179B">
        <w:t xml:space="preserve">due to resource </w:t>
      </w:r>
      <w:r w:rsidR="00B8179B">
        <w:t>constraints</w:t>
      </w:r>
      <w:r w:rsidR="005F742E" w:rsidRPr="005F742E">
        <w:t xml:space="preserve">.  We have achieved 73% out of the </w:t>
      </w:r>
      <w:r w:rsidR="000F26C5">
        <w:t>90% target.  Progress with the n</w:t>
      </w:r>
      <w:r w:rsidR="005F742E" w:rsidRPr="005F742E">
        <w:t xml:space="preserve">ational measures, including any additional new measures, was formally reported to Europe in December 2018. </w:t>
      </w:r>
      <w:proofErr w:type="gramStart"/>
      <w:r w:rsidR="005F742E" w:rsidRPr="005F742E">
        <w:t>The majority of</w:t>
      </w:r>
      <w:proofErr w:type="gramEnd"/>
      <w:r w:rsidR="005F742E" w:rsidRPr="005F742E">
        <w:t xml:space="preserve"> national measures (86%) have been made operational with some having been completed.  </w:t>
      </w:r>
      <w:bookmarkStart w:id="1" w:name="_Hlk528320080"/>
      <w:r w:rsidR="005F742E" w:rsidRPr="005F742E">
        <w:t xml:space="preserve">The local and national measures form part of the commitment made by NRW in the statutory RBMPs.  For our investigations programme we have completed 29%, although there have been some changes to the total programme due to a quality assurance exercise.  In addition, there has been work in other waterbodies to prevent deterioration, make improvements at an element level, address local </w:t>
      </w:r>
      <w:proofErr w:type="gramStart"/>
      <w:r w:rsidR="005F742E" w:rsidRPr="005F742E">
        <w:t>high profile</w:t>
      </w:r>
      <w:proofErr w:type="gramEnd"/>
      <w:r w:rsidR="005F742E" w:rsidRPr="005F742E">
        <w:t xml:space="preserve"> issues, work on other water quality statutory drivers and to support partnership working which is not reflected in the figures</w:t>
      </w:r>
      <w:bookmarkEnd w:id="1"/>
      <w:r w:rsidR="005F742E" w:rsidRPr="005F742E">
        <w:t>.</w:t>
      </w:r>
    </w:p>
    <w:p w14:paraId="355F9FD2" w14:textId="77777777" w:rsidR="002D6CE5" w:rsidRDefault="002D6CE5" w:rsidP="002D6CE5">
      <w:pPr>
        <w:pStyle w:val="ListParagraph"/>
      </w:pPr>
    </w:p>
    <w:p w14:paraId="308305B2" w14:textId="77777777" w:rsidR="005F742E" w:rsidRDefault="00320176" w:rsidP="002D6CE5">
      <w:pPr>
        <w:pStyle w:val="ListParagraph"/>
        <w:numPr>
          <w:ilvl w:val="0"/>
          <w:numId w:val="19"/>
        </w:numPr>
        <w:spacing w:after="160" w:line="256" w:lineRule="auto"/>
        <w:ind w:left="993" w:hanging="426"/>
        <w:jc w:val="both"/>
      </w:pPr>
      <w:r w:rsidRPr="002D6CE5">
        <w:rPr>
          <w:b/>
        </w:rPr>
        <w:t>Amber – Develop Area Statements</w:t>
      </w:r>
      <w:r w:rsidRPr="005F742E">
        <w:t xml:space="preserve"> – </w:t>
      </w:r>
      <w:r w:rsidR="005F742E" w:rsidRPr="005F742E">
        <w:t xml:space="preserve">We have been consolidating our governance and decision making with respect to Area statements. The emerging themes continue to </w:t>
      </w:r>
      <w:proofErr w:type="gramStart"/>
      <w:r w:rsidR="005F742E" w:rsidRPr="005F742E">
        <w:t>evolve</w:t>
      </w:r>
      <w:proofErr w:type="gramEnd"/>
      <w:r w:rsidR="005F742E" w:rsidRPr="005F742E">
        <w:t xml:space="preserve"> and we are </w:t>
      </w:r>
      <w:r w:rsidR="000F26C5">
        <w:t>checking their</w:t>
      </w:r>
      <w:r w:rsidR="005F742E" w:rsidRPr="005F742E">
        <w:t xml:space="preserve"> suitability for sharing externally to help continue and frame discussions with stakeholders. This has delayed the expected timetable a </w:t>
      </w:r>
      <w:proofErr w:type="gramStart"/>
      <w:r w:rsidR="005F742E" w:rsidRPr="005F742E">
        <w:t>little</w:t>
      </w:r>
      <w:proofErr w:type="gramEnd"/>
      <w:r w:rsidR="005F742E" w:rsidRPr="005F742E">
        <w:t xml:space="preserve"> but we expect to catch up in 2019.</w:t>
      </w:r>
    </w:p>
    <w:p w14:paraId="2D7E3F4D" w14:textId="77777777" w:rsidR="002D6CE5" w:rsidRDefault="002D6CE5" w:rsidP="002D6CE5">
      <w:pPr>
        <w:pStyle w:val="ListParagraph"/>
      </w:pPr>
    </w:p>
    <w:p w14:paraId="5F4F4B4E" w14:textId="77777777" w:rsidR="00DD66FC" w:rsidRDefault="00320176" w:rsidP="002D6CE5">
      <w:pPr>
        <w:pStyle w:val="ListParagraph"/>
        <w:numPr>
          <w:ilvl w:val="0"/>
          <w:numId w:val="19"/>
        </w:numPr>
        <w:spacing w:after="160" w:line="256" w:lineRule="auto"/>
        <w:ind w:left="993" w:hanging="426"/>
        <w:jc w:val="both"/>
      </w:pPr>
      <w:r w:rsidRPr="002D6CE5">
        <w:rPr>
          <w:b/>
        </w:rPr>
        <w:t>Amber – Land restocking</w:t>
      </w:r>
      <w:r w:rsidR="006D6A0D" w:rsidRPr="002D6CE5">
        <w:rPr>
          <w:b/>
        </w:rPr>
        <w:t xml:space="preserve"> for sustainable forest management</w:t>
      </w:r>
      <w:r w:rsidRPr="005F742E">
        <w:t xml:space="preserve"> </w:t>
      </w:r>
      <w:r w:rsidR="00DD66FC">
        <w:t>–</w:t>
      </w:r>
      <w:r w:rsidRPr="005F742E">
        <w:t xml:space="preserve"> </w:t>
      </w:r>
      <w:r w:rsidR="003743C4" w:rsidRPr="003743C4">
        <w:t xml:space="preserve">Tree planting contracts </w:t>
      </w:r>
      <w:r w:rsidR="000F26C5">
        <w:t xml:space="preserve">were </w:t>
      </w:r>
      <w:r w:rsidR="003743C4" w:rsidRPr="003743C4">
        <w:t xml:space="preserve">awarded mid-February.  The planting season will carry-over into </w:t>
      </w:r>
      <w:r w:rsidR="000F26C5">
        <w:t>20</w:t>
      </w:r>
      <w:r w:rsidR="003743C4" w:rsidRPr="003743C4">
        <w:t>19</w:t>
      </w:r>
      <w:r w:rsidR="000F26C5">
        <w:t>/</w:t>
      </w:r>
      <w:r w:rsidR="003743C4" w:rsidRPr="003743C4">
        <w:t xml:space="preserve">20 and it </w:t>
      </w:r>
      <w:r w:rsidR="002D6CE5">
        <w:t>is unlikely that more than 1500</w:t>
      </w:r>
      <w:r w:rsidR="003743C4" w:rsidRPr="003743C4">
        <w:t xml:space="preserve">ha’s will be completed by the end of March 2019.  Depending on how much can be planted in April and May, it </w:t>
      </w:r>
      <w:r w:rsidR="000F26C5">
        <w:t>is possible</w:t>
      </w:r>
      <w:r w:rsidR="003743C4" w:rsidRPr="003743C4">
        <w:t xml:space="preserve"> that the land-bank remains above 4% until </w:t>
      </w:r>
      <w:r w:rsidR="000F26C5">
        <w:t>20</w:t>
      </w:r>
      <w:r w:rsidR="003743C4" w:rsidRPr="003743C4">
        <w:t>21</w:t>
      </w:r>
      <w:r w:rsidR="000F26C5">
        <w:t>/</w:t>
      </w:r>
      <w:r w:rsidR="003743C4" w:rsidRPr="003743C4">
        <w:t>22.</w:t>
      </w:r>
    </w:p>
    <w:p w14:paraId="0008E37B" w14:textId="77777777" w:rsidR="002D6CE5" w:rsidRDefault="002D6CE5" w:rsidP="002D6CE5">
      <w:pPr>
        <w:pStyle w:val="ListParagraph"/>
      </w:pPr>
    </w:p>
    <w:p w14:paraId="700B87A0" w14:textId="77777777" w:rsidR="00DD66FC" w:rsidRPr="002D6CE5" w:rsidRDefault="00D0161A" w:rsidP="002D6CE5">
      <w:pPr>
        <w:pStyle w:val="ListParagraph"/>
        <w:numPr>
          <w:ilvl w:val="0"/>
          <w:numId w:val="19"/>
        </w:numPr>
        <w:spacing w:after="160" w:line="256" w:lineRule="auto"/>
        <w:ind w:left="993" w:hanging="426"/>
        <w:jc w:val="both"/>
        <w:rPr>
          <w:rFonts w:cs="Arial"/>
        </w:rPr>
      </w:pPr>
      <w:r w:rsidRPr="002D6CE5">
        <w:rPr>
          <w:b/>
        </w:rPr>
        <w:t>Amber – Implementing ‘Vital Nature’</w:t>
      </w:r>
      <w:r w:rsidRPr="00CD66F3">
        <w:t xml:space="preserve"> </w:t>
      </w:r>
      <w:r w:rsidR="00DD66FC" w:rsidRPr="00CD66F3">
        <w:t xml:space="preserve">– </w:t>
      </w:r>
      <w:r w:rsidR="000F26C5">
        <w:t>The quarter three</w:t>
      </w:r>
      <w:r w:rsidR="00DD66FC" w:rsidRPr="00CD66F3">
        <w:t xml:space="preserve"> milestone to</w:t>
      </w:r>
      <w:r w:rsidR="000F26C5">
        <w:t xml:space="preserve"> r</w:t>
      </w:r>
      <w:r w:rsidR="00DD66FC" w:rsidRPr="00CD66F3">
        <w:t>eview the extent of and opportunities for habitat restoration, creation and condition improvement across NRW’s activities is amber. Work is underway through internal and externally focused task and finish groups and is currently focused on multi-sector guidance on ecosystem resilience delivery and assessment and descriptions of habitat restoration and creation.</w:t>
      </w:r>
    </w:p>
    <w:p w14:paraId="055EE9D5" w14:textId="77777777" w:rsidR="002D6CE5" w:rsidRPr="002D6CE5" w:rsidRDefault="002D6CE5" w:rsidP="002D6CE5">
      <w:pPr>
        <w:pStyle w:val="ListParagraph"/>
        <w:rPr>
          <w:rFonts w:cs="Arial"/>
        </w:rPr>
      </w:pPr>
    </w:p>
    <w:p w14:paraId="253D5670" w14:textId="77777777" w:rsidR="00DD66FC" w:rsidRPr="00BA6DB2" w:rsidRDefault="00D0161A" w:rsidP="002D6CE5">
      <w:pPr>
        <w:pStyle w:val="ListParagraph"/>
        <w:numPr>
          <w:ilvl w:val="0"/>
          <w:numId w:val="19"/>
        </w:numPr>
        <w:spacing w:after="160" w:line="256" w:lineRule="auto"/>
        <w:ind w:left="993" w:hanging="426"/>
        <w:jc w:val="both"/>
        <w:rPr>
          <w:rFonts w:cs="Arial"/>
        </w:rPr>
      </w:pPr>
      <w:r w:rsidRPr="002D6CE5">
        <w:rPr>
          <w:b/>
        </w:rPr>
        <w:t>Amber - Flood assets</w:t>
      </w:r>
      <w:r w:rsidRPr="00CD66F3">
        <w:t xml:space="preserve"> – </w:t>
      </w:r>
      <w:r w:rsidR="002D6CE5">
        <w:t>W</w:t>
      </w:r>
      <w:r w:rsidRPr="00CD66F3">
        <w:t xml:space="preserve">e own and maintain over 3,900 flood risk assets in providing an agreed standard of protection to 73,000 properties in Wales. We inspect our assets on a planned rolling basis, plan repairs where needed, and </w:t>
      </w:r>
      <w:r w:rsidRPr="00CD66F3">
        <w:lastRenderedPageBreak/>
        <w:t>monitor the status every month. </w:t>
      </w:r>
      <w:r w:rsidR="00DD66FC" w:rsidRPr="00CD66F3">
        <w:t xml:space="preserve">The last quarter saw more asset fixes being carried out than was forecast, with an additional three repairs being carried out. These include long standing failing assets at </w:t>
      </w:r>
      <w:proofErr w:type="spellStart"/>
      <w:r w:rsidR="00DD66FC" w:rsidRPr="00CD66F3">
        <w:t>Crindau</w:t>
      </w:r>
      <w:proofErr w:type="spellEnd"/>
      <w:r w:rsidR="00DD66FC" w:rsidRPr="00CD66F3">
        <w:t xml:space="preserve">, Newport that have now been passed. Area asset and operational teams are addressing damaged assets through </w:t>
      </w:r>
      <w:r w:rsidR="00DD66FC" w:rsidRPr="00D7089E">
        <w:t>both revenue and capital projects.</w:t>
      </w:r>
    </w:p>
    <w:p w14:paraId="3D29DA28" w14:textId="77777777" w:rsidR="00BA6DB2" w:rsidRPr="00BA6DB2" w:rsidRDefault="00BA6DB2" w:rsidP="00BA6DB2">
      <w:pPr>
        <w:pStyle w:val="ListParagraph"/>
        <w:rPr>
          <w:rFonts w:cs="Arial"/>
        </w:rPr>
      </w:pPr>
    </w:p>
    <w:p w14:paraId="09A317B6" w14:textId="62F48BC7" w:rsidR="00EE70F2" w:rsidRPr="00A914B7" w:rsidRDefault="00D0161A" w:rsidP="00A914B7">
      <w:pPr>
        <w:pStyle w:val="ListParagraph"/>
        <w:numPr>
          <w:ilvl w:val="0"/>
          <w:numId w:val="19"/>
        </w:numPr>
        <w:spacing w:after="160" w:line="256" w:lineRule="auto"/>
        <w:ind w:left="993" w:hanging="426"/>
        <w:jc w:val="both"/>
        <w:rPr>
          <w:rFonts w:cs="Arial"/>
        </w:rPr>
      </w:pPr>
      <w:r w:rsidRPr="00BA6DB2">
        <w:rPr>
          <w:b/>
        </w:rPr>
        <w:t>Amber – Flood Risk Management Capital Programme</w:t>
      </w:r>
      <w:r w:rsidRPr="00D7089E">
        <w:t xml:space="preserve"> – </w:t>
      </w:r>
      <w:r w:rsidR="006C58C5" w:rsidRPr="00D7089E">
        <w:t xml:space="preserve">Projects at </w:t>
      </w:r>
      <w:proofErr w:type="spellStart"/>
      <w:r w:rsidR="006C58C5" w:rsidRPr="00D7089E">
        <w:t>Pontarddulais</w:t>
      </w:r>
      <w:proofErr w:type="spellEnd"/>
      <w:r w:rsidR="006C58C5" w:rsidRPr="00D7089E">
        <w:t xml:space="preserve"> and </w:t>
      </w:r>
      <w:proofErr w:type="spellStart"/>
      <w:r w:rsidR="006C58C5" w:rsidRPr="00D7089E">
        <w:t>Friog</w:t>
      </w:r>
      <w:proofErr w:type="spellEnd"/>
      <w:r w:rsidR="006C58C5" w:rsidRPr="00D7089E">
        <w:t xml:space="preserve"> Cliffs are expected to complete construction later this year, whilst the St Asaph scheme was officially opened by the Minister for Environment in July. Our major construction scheme at Roath has been paused as we work with the campaign group for a favourable solution. Our other large construction project at </w:t>
      </w:r>
      <w:proofErr w:type="spellStart"/>
      <w:r w:rsidR="006C58C5" w:rsidRPr="00D7089E">
        <w:t>Crindau</w:t>
      </w:r>
      <w:proofErr w:type="spellEnd"/>
      <w:r w:rsidR="006C58C5" w:rsidRPr="00D7089E">
        <w:t xml:space="preserve"> has finished </w:t>
      </w:r>
      <w:proofErr w:type="gramStart"/>
      <w:r w:rsidR="006C58C5" w:rsidRPr="00D7089E">
        <w:t>the majority of</w:t>
      </w:r>
      <w:proofErr w:type="gramEnd"/>
      <w:r w:rsidR="006C58C5" w:rsidRPr="00D7089E">
        <w:t xml:space="preserve"> work with only three contested</w:t>
      </w:r>
      <w:r w:rsidR="00A914B7">
        <w:t xml:space="preserve"> pockets of land left to finish;</w:t>
      </w:r>
      <w:r w:rsidR="006C58C5" w:rsidRPr="00D7089E">
        <w:t xml:space="preserve"> it is hoped that agreements can be reached, and this work finalised in </w:t>
      </w:r>
      <w:r w:rsidR="00BB6BC3" w:rsidRPr="00D7089E">
        <w:t>20</w:t>
      </w:r>
      <w:r w:rsidR="006C58C5" w:rsidRPr="00D7089E">
        <w:t>19/20.</w:t>
      </w:r>
    </w:p>
    <w:p w14:paraId="42FF2EE6" w14:textId="77777777" w:rsidR="00A914B7" w:rsidRPr="00A914B7" w:rsidRDefault="00A914B7" w:rsidP="00A914B7">
      <w:pPr>
        <w:pStyle w:val="ListParagraph"/>
        <w:ind w:hanging="426"/>
        <w:rPr>
          <w:rFonts w:cs="Arial"/>
        </w:rPr>
      </w:pPr>
    </w:p>
    <w:p w14:paraId="50D1592A" w14:textId="2B5716E8" w:rsidR="00EE70F2" w:rsidRDefault="00EE70F2" w:rsidP="00A914B7">
      <w:pPr>
        <w:pStyle w:val="ListParagraph"/>
        <w:numPr>
          <w:ilvl w:val="0"/>
          <w:numId w:val="19"/>
        </w:numPr>
        <w:spacing w:after="160" w:line="256" w:lineRule="auto"/>
        <w:ind w:left="993" w:hanging="426"/>
        <w:jc w:val="both"/>
        <w:rPr>
          <w:rFonts w:cs="Arial"/>
        </w:rPr>
      </w:pPr>
      <w:r w:rsidRPr="00A914B7">
        <w:rPr>
          <w:rFonts w:cs="Arial"/>
          <w:b/>
        </w:rPr>
        <w:t>Amber – Promoting outdoor recreation</w:t>
      </w:r>
      <w:r w:rsidRPr="00D7089E">
        <w:rPr>
          <w:rFonts w:cs="Arial"/>
        </w:rPr>
        <w:t xml:space="preserve"> - The Wales Coast Path promotion strategy and action plan</w:t>
      </w:r>
      <w:r w:rsidRPr="00FD4D0D">
        <w:rPr>
          <w:rFonts w:cs="Arial"/>
        </w:rPr>
        <w:t xml:space="preserve"> have been finalised (subject to formal approval in </w:t>
      </w:r>
      <w:r w:rsidR="000528DE">
        <w:rPr>
          <w:rFonts w:cs="Arial"/>
        </w:rPr>
        <w:t>quarter four</w:t>
      </w:r>
      <w:r w:rsidRPr="00FD4D0D">
        <w:rPr>
          <w:rFonts w:cs="Arial"/>
        </w:rPr>
        <w:t xml:space="preserve">). Good progress has been made with the contracts to develop promotional content and activity.  ‘Go live’ approval was </w:t>
      </w:r>
      <w:proofErr w:type="gramStart"/>
      <w:r w:rsidRPr="00FD4D0D">
        <w:rPr>
          <w:rFonts w:cs="Arial"/>
        </w:rPr>
        <w:t>delayed,</w:t>
      </w:r>
      <w:proofErr w:type="gramEnd"/>
      <w:r w:rsidRPr="00FD4D0D">
        <w:rPr>
          <w:rFonts w:cs="Arial"/>
        </w:rPr>
        <w:t xml:space="preserve"> however the website is now live.  Formal sign-off of the new website will now be in Q4. </w:t>
      </w:r>
    </w:p>
    <w:p w14:paraId="4634482E" w14:textId="77777777" w:rsidR="00A914B7" w:rsidRPr="00A914B7" w:rsidRDefault="00A914B7" w:rsidP="00A914B7">
      <w:pPr>
        <w:pStyle w:val="ListParagraph"/>
        <w:ind w:hanging="426"/>
        <w:rPr>
          <w:rFonts w:cs="Arial"/>
        </w:rPr>
      </w:pPr>
    </w:p>
    <w:p w14:paraId="0A567501" w14:textId="5568C882" w:rsidR="006C58C5" w:rsidRPr="00A914B7" w:rsidRDefault="00320176" w:rsidP="00A914B7">
      <w:pPr>
        <w:pStyle w:val="ListParagraph"/>
        <w:numPr>
          <w:ilvl w:val="0"/>
          <w:numId w:val="19"/>
        </w:numPr>
        <w:spacing w:after="160" w:line="256" w:lineRule="auto"/>
        <w:ind w:left="993" w:hanging="426"/>
        <w:jc w:val="both"/>
        <w:rPr>
          <w:rFonts w:cs="Arial"/>
        </w:rPr>
      </w:pPr>
      <w:r w:rsidRPr="00A914B7">
        <w:rPr>
          <w:b/>
        </w:rPr>
        <w:t xml:space="preserve">Amber – Implement </w:t>
      </w:r>
      <w:proofErr w:type="spellStart"/>
      <w:r w:rsidRPr="00A914B7">
        <w:rPr>
          <w:b/>
        </w:rPr>
        <w:t>Organistional</w:t>
      </w:r>
      <w:proofErr w:type="spellEnd"/>
      <w:r w:rsidRPr="00A914B7">
        <w:rPr>
          <w:b/>
        </w:rPr>
        <w:t xml:space="preserve"> Design</w:t>
      </w:r>
      <w:r w:rsidRPr="00FD4D0D">
        <w:t xml:space="preserve"> - </w:t>
      </w:r>
      <w:r w:rsidR="006C58C5" w:rsidRPr="00FD4D0D">
        <w:t xml:space="preserve">Work is ongoing to develop the new ways of working, with the </w:t>
      </w:r>
      <w:proofErr w:type="gramStart"/>
      <w:r w:rsidR="006C58C5" w:rsidRPr="00FD4D0D">
        <w:t>main focus</w:t>
      </w:r>
      <w:proofErr w:type="gramEnd"/>
      <w:r w:rsidR="006C58C5" w:rsidRPr="00FD4D0D">
        <w:t xml:space="preserve"> at the moment being the setup of the finance a</w:t>
      </w:r>
      <w:r w:rsidR="00A914B7">
        <w:t>nd HR systems</w:t>
      </w:r>
      <w:r w:rsidR="006C58C5" w:rsidRPr="00FD4D0D">
        <w:t>. We are continuing to assess deliverability of changes</w:t>
      </w:r>
      <w:r w:rsidR="00A914B7" w:rsidRPr="00A914B7">
        <w:rPr>
          <w:rFonts w:cs="Arial"/>
        </w:rPr>
        <w:t>.</w:t>
      </w:r>
    </w:p>
    <w:p w14:paraId="05D37C1D" w14:textId="77777777" w:rsidR="00A914B7" w:rsidRPr="00A914B7" w:rsidRDefault="00A914B7" w:rsidP="00A914B7">
      <w:pPr>
        <w:pStyle w:val="ListParagraph"/>
        <w:rPr>
          <w:rFonts w:cs="Arial"/>
        </w:rPr>
      </w:pPr>
    </w:p>
    <w:p w14:paraId="31D36B8D" w14:textId="0FB33A38" w:rsidR="00057F0F" w:rsidRDefault="00320176" w:rsidP="00A914B7">
      <w:pPr>
        <w:pStyle w:val="ListParagraph"/>
        <w:numPr>
          <w:ilvl w:val="0"/>
          <w:numId w:val="19"/>
        </w:numPr>
        <w:spacing w:after="160" w:line="256" w:lineRule="auto"/>
        <w:ind w:left="993" w:hanging="426"/>
        <w:jc w:val="both"/>
        <w:rPr>
          <w:rFonts w:cs="Arial"/>
        </w:rPr>
      </w:pPr>
      <w:r w:rsidRPr="00A914B7">
        <w:rPr>
          <w:rFonts w:cs="Arial"/>
          <w:b/>
        </w:rPr>
        <w:t>Amber - Improve our organisation</w:t>
      </w:r>
      <w:r w:rsidRPr="00A914B7">
        <w:rPr>
          <w:rFonts w:cs="Arial"/>
        </w:rPr>
        <w:t xml:space="preserve"> – Our Induction programme, designed in Sept</w:t>
      </w:r>
      <w:r w:rsidR="000528DE" w:rsidRPr="00A914B7">
        <w:rPr>
          <w:rFonts w:cs="Arial"/>
        </w:rPr>
        <w:t>ember</w:t>
      </w:r>
      <w:r w:rsidRPr="00A914B7">
        <w:rPr>
          <w:rFonts w:cs="Arial"/>
        </w:rPr>
        <w:t>, was run as a pilot in October/November with good engagement. People Survey responses have had a significant impact on many areas of our work but further local roll-out has not been prioritised through the current Organisational Design phase which moves us to an amber</w:t>
      </w:r>
      <w:r w:rsidR="00A914B7">
        <w:rPr>
          <w:rFonts w:cs="Arial"/>
        </w:rPr>
        <w:t>.</w:t>
      </w:r>
    </w:p>
    <w:p w14:paraId="7D320152" w14:textId="77777777" w:rsidR="00A914B7" w:rsidRPr="00A914B7" w:rsidRDefault="00A914B7" w:rsidP="00A914B7">
      <w:pPr>
        <w:pStyle w:val="ListParagraph"/>
        <w:rPr>
          <w:rFonts w:cs="Arial"/>
        </w:rPr>
      </w:pPr>
    </w:p>
    <w:p w14:paraId="16D1BEF1" w14:textId="5AFC7DF4" w:rsidR="00C3689F" w:rsidRDefault="00BB6BC3" w:rsidP="00A914B7">
      <w:pPr>
        <w:pStyle w:val="ListParagraph"/>
        <w:numPr>
          <w:ilvl w:val="0"/>
          <w:numId w:val="19"/>
        </w:numPr>
        <w:spacing w:after="160" w:line="256" w:lineRule="auto"/>
        <w:ind w:left="993" w:hanging="426"/>
        <w:jc w:val="both"/>
        <w:rPr>
          <w:rFonts w:cs="Arial"/>
        </w:rPr>
      </w:pPr>
      <w:r w:rsidRPr="00A914B7">
        <w:rPr>
          <w:rFonts w:cs="Arial"/>
          <w:b/>
        </w:rPr>
        <w:t>Amber – Wellbeing Health and Safety</w:t>
      </w:r>
      <w:r w:rsidRPr="003743C4">
        <w:rPr>
          <w:rFonts w:cs="Arial"/>
        </w:rPr>
        <w:t xml:space="preserve"> – Four incident</w:t>
      </w:r>
      <w:r w:rsidR="00A914B7">
        <w:rPr>
          <w:rFonts w:cs="Arial"/>
        </w:rPr>
        <w:t>s have occurred during the year;</w:t>
      </w:r>
      <w:r w:rsidRPr="003743C4">
        <w:rPr>
          <w:rFonts w:cs="Arial"/>
        </w:rPr>
        <w:t xml:space="preserve"> each was investigated, and lessons learnt provided to relevant managers. Thankfully we have very few lost time incidents, however this does mean there is insufficient data to establish trends, with each incident being individual and random. Any repeat of incidents would be picked up through our review process.</w:t>
      </w:r>
    </w:p>
    <w:p w14:paraId="0D85D7EB" w14:textId="77777777" w:rsidR="00A914B7" w:rsidRPr="00A914B7" w:rsidRDefault="00A914B7" w:rsidP="00A914B7">
      <w:pPr>
        <w:pStyle w:val="ListParagraph"/>
        <w:rPr>
          <w:rFonts w:cs="Arial"/>
        </w:rPr>
      </w:pPr>
    </w:p>
    <w:p w14:paraId="0796D84E" w14:textId="77777777" w:rsidR="00B8179B" w:rsidRPr="00EB3FDD" w:rsidRDefault="00C3689F" w:rsidP="00A914B7">
      <w:pPr>
        <w:pStyle w:val="ListParagraph"/>
        <w:numPr>
          <w:ilvl w:val="0"/>
          <w:numId w:val="19"/>
        </w:numPr>
        <w:spacing w:after="160" w:line="256" w:lineRule="auto"/>
        <w:ind w:left="993" w:hanging="426"/>
        <w:jc w:val="both"/>
        <w:rPr>
          <w:rFonts w:cs="Arial"/>
        </w:rPr>
      </w:pPr>
      <w:r w:rsidRPr="00A914B7">
        <w:rPr>
          <w:rFonts w:cs="Arial"/>
          <w:b/>
        </w:rPr>
        <w:t>On hold – Quality of our Evidence base</w:t>
      </w:r>
      <w:r w:rsidRPr="00C3689F">
        <w:rPr>
          <w:rFonts w:cs="Arial"/>
        </w:rPr>
        <w:t xml:space="preserve"> – Target is on hold to produce a high-level draft of evidence strategy, including how we increase quality of our evidence base, while the external Evidence Advisory Committee (requested b</w:t>
      </w:r>
      <w:r w:rsidR="001F6CEC">
        <w:rPr>
          <w:rFonts w:cs="Arial"/>
        </w:rPr>
        <w:t>y the new Board) is established.</w:t>
      </w:r>
    </w:p>
    <w:p w14:paraId="40F4D704" w14:textId="77777777" w:rsidR="00D0161A" w:rsidRPr="00B73187" w:rsidRDefault="00D0161A" w:rsidP="00A914B7">
      <w:pPr>
        <w:numPr>
          <w:ilvl w:val="0"/>
          <w:numId w:val="17"/>
        </w:numPr>
        <w:ind w:left="567" w:hanging="567"/>
        <w:jc w:val="both"/>
        <w:rPr>
          <w:rFonts w:cs="Arial"/>
        </w:rPr>
      </w:pPr>
      <w:r w:rsidRPr="00B73187">
        <w:rPr>
          <w:rFonts w:cs="Arial"/>
        </w:rPr>
        <w:t xml:space="preserve">The Chief Executive will provide a verbal summary of achievement at the Board meeting and members of Executive Team will be available to answer questions. </w:t>
      </w:r>
    </w:p>
    <w:p w14:paraId="1AF33A30" w14:textId="77777777" w:rsidR="003F7639" w:rsidRPr="003F7639" w:rsidRDefault="003F7639" w:rsidP="00BE272F">
      <w:pPr>
        <w:pStyle w:val="Heading2"/>
        <w:jc w:val="both"/>
      </w:pPr>
      <w:r>
        <w:lastRenderedPageBreak/>
        <w:t>Summary</w:t>
      </w:r>
    </w:p>
    <w:p w14:paraId="000BF9B1" w14:textId="77777777" w:rsidR="003F7639" w:rsidRDefault="003F7639" w:rsidP="00BE272F">
      <w:pPr>
        <w:pStyle w:val="Heading2"/>
        <w:jc w:val="both"/>
      </w:pPr>
    </w:p>
    <w:p w14:paraId="66769BE4" w14:textId="77777777" w:rsidR="00D0161A" w:rsidRPr="00EB3FDD" w:rsidRDefault="00D0161A" w:rsidP="00A914B7">
      <w:pPr>
        <w:numPr>
          <w:ilvl w:val="0"/>
          <w:numId w:val="17"/>
        </w:numPr>
        <w:ind w:left="567" w:hanging="567"/>
        <w:jc w:val="both"/>
        <w:rPr>
          <w:rFonts w:cs="Arial"/>
        </w:rPr>
      </w:pPr>
      <w:r w:rsidRPr="00EB3FDD">
        <w:rPr>
          <w:rFonts w:cs="Arial"/>
        </w:rPr>
        <w:t xml:space="preserve">Current performance position </w:t>
      </w:r>
      <w:r w:rsidR="00B654D7" w:rsidRPr="00EB3FDD">
        <w:rPr>
          <w:rFonts w:cs="Arial"/>
        </w:rPr>
        <w:t xml:space="preserve">for the 35 measures in the Business Plan dashboard </w:t>
      </w:r>
      <w:r w:rsidRPr="00EB3FDD">
        <w:rPr>
          <w:rFonts w:cs="Arial"/>
        </w:rPr>
        <w:t xml:space="preserve">reflects </w:t>
      </w:r>
      <w:r w:rsidR="003743C4" w:rsidRPr="00EB3FDD">
        <w:rPr>
          <w:rFonts w:cs="Arial"/>
        </w:rPr>
        <w:t>1</w:t>
      </w:r>
      <w:r w:rsidR="00EB3FDD" w:rsidRPr="00EB3FDD">
        <w:rPr>
          <w:rFonts w:cs="Arial"/>
        </w:rPr>
        <w:t>4</w:t>
      </w:r>
      <w:r w:rsidRPr="00EB3FDD">
        <w:rPr>
          <w:rFonts w:cs="Arial"/>
        </w:rPr>
        <w:t xml:space="preserve"> green measures</w:t>
      </w:r>
      <w:r w:rsidR="00EB3FDD">
        <w:rPr>
          <w:rFonts w:cs="Arial"/>
        </w:rPr>
        <w:t xml:space="preserve">, </w:t>
      </w:r>
      <w:r w:rsidR="003743C4" w:rsidRPr="00EB3FDD">
        <w:rPr>
          <w:rFonts w:cs="Arial"/>
        </w:rPr>
        <w:t>20</w:t>
      </w:r>
      <w:r w:rsidR="00B654D7" w:rsidRPr="00EB3FDD">
        <w:rPr>
          <w:rFonts w:cs="Arial"/>
        </w:rPr>
        <w:t xml:space="preserve"> performance exceptions</w:t>
      </w:r>
      <w:r w:rsidR="00EB3FDD">
        <w:rPr>
          <w:rFonts w:cs="Arial"/>
        </w:rPr>
        <w:t xml:space="preserve"> and one for the provision of detail</w:t>
      </w:r>
      <w:r w:rsidR="00B654D7" w:rsidRPr="00EB3FDD">
        <w:rPr>
          <w:rFonts w:cs="Arial"/>
        </w:rPr>
        <w:t xml:space="preserve">.  </w:t>
      </w:r>
    </w:p>
    <w:p w14:paraId="6F477A8E" w14:textId="77777777" w:rsidR="00B654D7" w:rsidRPr="00D0161A" w:rsidRDefault="00B654D7" w:rsidP="00BE272F">
      <w:pPr>
        <w:pStyle w:val="BodyText"/>
        <w:jc w:val="both"/>
      </w:pPr>
    </w:p>
    <w:p w14:paraId="24358350" w14:textId="77777777" w:rsidR="00225AB2" w:rsidRDefault="00225AB2" w:rsidP="00BE272F">
      <w:pPr>
        <w:pStyle w:val="Heading2"/>
        <w:jc w:val="both"/>
      </w:pPr>
      <w:r>
        <w:t>Recommendation</w:t>
      </w:r>
    </w:p>
    <w:p w14:paraId="33FB52EE" w14:textId="77777777" w:rsidR="00D0161A" w:rsidRPr="00D0161A" w:rsidRDefault="00D0161A" w:rsidP="00BE272F">
      <w:pPr>
        <w:pStyle w:val="BodyText"/>
        <w:jc w:val="both"/>
      </w:pPr>
    </w:p>
    <w:p w14:paraId="4BA93726" w14:textId="77777777" w:rsidR="00D0161A" w:rsidRPr="00777F61" w:rsidRDefault="00777F61" w:rsidP="00A914B7">
      <w:pPr>
        <w:numPr>
          <w:ilvl w:val="0"/>
          <w:numId w:val="17"/>
        </w:numPr>
        <w:ind w:left="567" w:hanging="567"/>
        <w:jc w:val="both"/>
        <w:rPr>
          <w:rFonts w:cs="Arial"/>
        </w:rPr>
      </w:pPr>
      <w:r>
        <w:rPr>
          <w:rFonts w:cs="Arial"/>
        </w:rPr>
        <w:t>The Board is requested to s</w:t>
      </w:r>
      <w:r w:rsidR="00D0161A" w:rsidRPr="00777F61">
        <w:rPr>
          <w:rFonts w:cs="Arial"/>
        </w:rPr>
        <w:t>crutinise and agree the performance report for quarter three, prior to its submission to Welsh Government</w:t>
      </w:r>
    </w:p>
    <w:p w14:paraId="35B5799B" w14:textId="77777777" w:rsidR="003F7639" w:rsidRPr="00777F61" w:rsidRDefault="003F7639" w:rsidP="00BE272F">
      <w:pPr>
        <w:pStyle w:val="BodyText"/>
        <w:jc w:val="both"/>
      </w:pPr>
    </w:p>
    <w:p w14:paraId="0E07101F" w14:textId="77777777" w:rsidR="003F7639" w:rsidRPr="00777F61" w:rsidRDefault="003F7639" w:rsidP="00BE272F">
      <w:pPr>
        <w:pStyle w:val="Heading2"/>
        <w:jc w:val="both"/>
      </w:pPr>
      <w:r w:rsidRPr="00777F61">
        <w:t>Key Risks</w:t>
      </w:r>
    </w:p>
    <w:p w14:paraId="40021C73" w14:textId="77777777" w:rsidR="00CD2068" w:rsidRPr="00777F61" w:rsidRDefault="00CD2068" w:rsidP="00BE272F">
      <w:pPr>
        <w:pStyle w:val="BodyText"/>
        <w:jc w:val="both"/>
      </w:pPr>
    </w:p>
    <w:p w14:paraId="2C0A418B" w14:textId="77777777" w:rsidR="00D0161A" w:rsidRPr="00777F61" w:rsidRDefault="00D0161A" w:rsidP="00A914B7">
      <w:pPr>
        <w:numPr>
          <w:ilvl w:val="0"/>
          <w:numId w:val="17"/>
        </w:numPr>
        <w:ind w:left="567" w:hanging="567"/>
        <w:jc w:val="both"/>
        <w:rPr>
          <w:rFonts w:cs="Arial"/>
        </w:rPr>
      </w:pPr>
      <w:r w:rsidRPr="00777F61">
        <w:rPr>
          <w:rFonts w:cs="Arial"/>
        </w:rPr>
        <w:t>If the performance information provided does not accurately reflect progress towards Business/Corporate Plan Objectives, then the Board will be unable to fulfil their role to scrutinise NRW’s delivery.</w:t>
      </w:r>
    </w:p>
    <w:p w14:paraId="20813C34" w14:textId="77777777" w:rsidR="00D0161A" w:rsidRPr="00777F61" w:rsidRDefault="00D0161A" w:rsidP="00BE272F">
      <w:pPr>
        <w:pStyle w:val="BodyText"/>
        <w:jc w:val="both"/>
      </w:pPr>
    </w:p>
    <w:p w14:paraId="18EF4E0A" w14:textId="77777777" w:rsidR="00CD2068" w:rsidRPr="00777F61" w:rsidRDefault="00CD2068" w:rsidP="00BE272F">
      <w:pPr>
        <w:pStyle w:val="Heading2"/>
        <w:jc w:val="both"/>
      </w:pPr>
      <w:r w:rsidRPr="00777F61">
        <w:t xml:space="preserve">Next steps </w:t>
      </w:r>
    </w:p>
    <w:p w14:paraId="2F91A37C" w14:textId="77777777" w:rsidR="003F7639" w:rsidRPr="00777F61" w:rsidRDefault="003F7639" w:rsidP="00BE272F">
      <w:pPr>
        <w:pStyle w:val="Heading2"/>
        <w:jc w:val="both"/>
      </w:pPr>
    </w:p>
    <w:p w14:paraId="01399B53" w14:textId="77777777" w:rsidR="00D0161A" w:rsidRPr="00777F61" w:rsidRDefault="00D0161A" w:rsidP="00204847">
      <w:pPr>
        <w:numPr>
          <w:ilvl w:val="0"/>
          <w:numId w:val="17"/>
        </w:numPr>
        <w:ind w:left="567" w:hanging="567"/>
        <w:jc w:val="both"/>
        <w:rPr>
          <w:rFonts w:cs="Arial"/>
        </w:rPr>
      </w:pPr>
      <w:r w:rsidRPr="00777F61">
        <w:rPr>
          <w:rFonts w:cs="Arial"/>
        </w:rPr>
        <w:t>The performance report will be submitted to the Minister of Environment, Energy and Rural Affairs and it will be published on the Natural Resources Wales website.</w:t>
      </w:r>
    </w:p>
    <w:p w14:paraId="1A087960" w14:textId="77777777" w:rsidR="00D0161A" w:rsidRPr="00777F61" w:rsidRDefault="00D0161A" w:rsidP="00BE272F">
      <w:pPr>
        <w:pStyle w:val="BodyText"/>
        <w:jc w:val="both"/>
      </w:pPr>
    </w:p>
    <w:p w14:paraId="52251085" w14:textId="77777777" w:rsidR="003F7639" w:rsidRPr="00777F61" w:rsidRDefault="003F7639" w:rsidP="00BE272F">
      <w:pPr>
        <w:pStyle w:val="Heading2"/>
        <w:jc w:val="both"/>
      </w:pPr>
      <w:r w:rsidRPr="00777F61">
        <w:t>Financial Implications</w:t>
      </w:r>
    </w:p>
    <w:p w14:paraId="72F7AFF1" w14:textId="77777777" w:rsidR="003F7639" w:rsidRPr="00777F61" w:rsidRDefault="003F7639" w:rsidP="00BE272F">
      <w:pPr>
        <w:pStyle w:val="Heading2"/>
        <w:jc w:val="both"/>
      </w:pPr>
    </w:p>
    <w:p w14:paraId="2325AF2F" w14:textId="77777777" w:rsidR="00D0161A" w:rsidRPr="00777F61" w:rsidRDefault="00D0161A" w:rsidP="00204847">
      <w:pPr>
        <w:numPr>
          <w:ilvl w:val="0"/>
          <w:numId w:val="17"/>
        </w:numPr>
        <w:ind w:left="567" w:hanging="567"/>
        <w:jc w:val="both"/>
        <w:rPr>
          <w:rFonts w:cs="Arial"/>
        </w:rPr>
      </w:pPr>
      <w:r w:rsidRPr="00777F61">
        <w:rPr>
          <w:rFonts w:cs="Arial"/>
        </w:rPr>
        <w:t xml:space="preserve">There are no significant financial implications in providing the performance report. </w:t>
      </w:r>
    </w:p>
    <w:p w14:paraId="77BE50A6" w14:textId="77777777" w:rsidR="00D0161A" w:rsidRPr="00777F61" w:rsidRDefault="00D0161A" w:rsidP="00BE272F">
      <w:pPr>
        <w:pStyle w:val="BodyText"/>
        <w:jc w:val="both"/>
      </w:pPr>
    </w:p>
    <w:p w14:paraId="5B28E172" w14:textId="77777777" w:rsidR="003F7639" w:rsidRPr="00777F61" w:rsidRDefault="003F7639" w:rsidP="00BE272F">
      <w:pPr>
        <w:pStyle w:val="Heading2"/>
        <w:jc w:val="both"/>
      </w:pPr>
      <w:r w:rsidRPr="00777F61">
        <w:t>Equality impact assessment (</w:t>
      </w:r>
      <w:proofErr w:type="spellStart"/>
      <w:r w:rsidRPr="00777F61">
        <w:t>EqIA</w:t>
      </w:r>
      <w:proofErr w:type="spellEnd"/>
      <w:r w:rsidRPr="00777F61">
        <w:t>)</w:t>
      </w:r>
    </w:p>
    <w:p w14:paraId="4A5DB70B" w14:textId="77777777" w:rsidR="003F7639" w:rsidRPr="00652B1E" w:rsidRDefault="003F7639" w:rsidP="00BE272F">
      <w:pPr>
        <w:pStyle w:val="Heading2"/>
        <w:jc w:val="both"/>
        <w:rPr>
          <w:highlight w:val="yellow"/>
        </w:rPr>
      </w:pPr>
    </w:p>
    <w:p w14:paraId="0843F8AA" w14:textId="77777777" w:rsidR="00D0161A" w:rsidRPr="00777F61" w:rsidRDefault="00D0161A" w:rsidP="00204847">
      <w:pPr>
        <w:numPr>
          <w:ilvl w:val="0"/>
          <w:numId w:val="17"/>
        </w:numPr>
        <w:ind w:left="567" w:hanging="567"/>
        <w:jc w:val="both"/>
        <w:rPr>
          <w:rFonts w:cs="Arial"/>
        </w:rPr>
      </w:pPr>
      <w:r w:rsidRPr="00777F61">
        <w:rPr>
          <w:rFonts w:cs="Arial"/>
        </w:rPr>
        <w:t xml:space="preserve">An equality impact assessment was carried out on the 2018/19 Business Plan. </w:t>
      </w:r>
    </w:p>
    <w:p w14:paraId="32A7592A" w14:textId="77777777" w:rsidR="00D0161A" w:rsidRPr="00D0161A" w:rsidRDefault="00D0161A" w:rsidP="00BE272F">
      <w:pPr>
        <w:pStyle w:val="BodyText"/>
        <w:jc w:val="both"/>
      </w:pPr>
    </w:p>
    <w:p w14:paraId="59147E11" w14:textId="77777777" w:rsidR="003F7639" w:rsidRDefault="003F7639" w:rsidP="00BE272F">
      <w:pPr>
        <w:pStyle w:val="Heading2"/>
        <w:jc w:val="both"/>
      </w:pPr>
      <w:r>
        <w:t xml:space="preserve">Index of </w:t>
      </w:r>
      <w:r w:rsidR="00CD2068">
        <w:t xml:space="preserve">Annex </w:t>
      </w:r>
    </w:p>
    <w:p w14:paraId="02353BE7" w14:textId="77777777" w:rsidR="00D0161A" w:rsidRPr="00D0161A" w:rsidRDefault="00D0161A" w:rsidP="00BE272F">
      <w:pPr>
        <w:pStyle w:val="BodyText"/>
        <w:jc w:val="both"/>
      </w:pPr>
    </w:p>
    <w:p w14:paraId="4F47CBB5" w14:textId="77777777" w:rsidR="00D0161A" w:rsidRPr="00777F61" w:rsidRDefault="00CA5C51" w:rsidP="00204847">
      <w:pPr>
        <w:numPr>
          <w:ilvl w:val="0"/>
          <w:numId w:val="17"/>
        </w:numPr>
        <w:ind w:left="567" w:hanging="567"/>
        <w:jc w:val="both"/>
        <w:rPr>
          <w:rFonts w:cs="Arial"/>
        </w:rPr>
      </w:pPr>
      <w:r>
        <w:rPr>
          <w:rFonts w:cs="Arial"/>
        </w:rPr>
        <w:t xml:space="preserve">2018/19 </w:t>
      </w:r>
      <w:r w:rsidR="00D0161A" w:rsidRPr="00777F61">
        <w:rPr>
          <w:rFonts w:cs="Arial"/>
        </w:rPr>
        <w:t>Business Plan dashboard</w:t>
      </w:r>
    </w:p>
    <w:p w14:paraId="105EC0D7" w14:textId="77777777" w:rsidR="00FC35F8" w:rsidRDefault="00FC35F8" w:rsidP="00BE272F">
      <w:pPr>
        <w:spacing w:after="240"/>
        <w:jc w:val="both"/>
        <w:rPr>
          <w:rFonts w:cs="Arial"/>
          <w:b/>
          <w:u w:val="single"/>
        </w:rPr>
      </w:pPr>
    </w:p>
    <w:p w14:paraId="1E18B9AC" w14:textId="77777777" w:rsidR="00FC35F8" w:rsidRDefault="00FC35F8" w:rsidP="00BE272F">
      <w:pPr>
        <w:spacing w:after="240"/>
        <w:jc w:val="both"/>
        <w:rPr>
          <w:rFonts w:cs="Arial"/>
          <w:b/>
          <w:u w:val="single"/>
        </w:rPr>
      </w:pPr>
    </w:p>
    <w:p w14:paraId="3597AC7D" w14:textId="77777777" w:rsidR="00FC35F8" w:rsidRDefault="00FC35F8" w:rsidP="00BE272F">
      <w:pPr>
        <w:spacing w:after="240"/>
        <w:jc w:val="both"/>
        <w:rPr>
          <w:rFonts w:cs="Arial"/>
          <w:b/>
          <w:u w:val="single"/>
        </w:rPr>
      </w:pPr>
    </w:p>
    <w:p w14:paraId="16C1094F" w14:textId="77777777" w:rsidR="00FC35F8" w:rsidRDefault="00FC35F8" w:rsidP="00BE272F">
      <w:pPr>
        <w:spacing w:after="240"/>
        <w:jc w:val="both"/>
        <w:rPr>
          <w:rFonts w:cs="Arial"/>
          <w:b/>
          <w:u w:val="single"/>
        </w:rPr>
      </w:pPr>
    </w:p>
    <w:sectPr w:rsidR="00FC35F8" w:rsidSect="00EF38E7">
      <w:headerReference w:type="default" r:id="rId13"/>
      <w:footerReference w:type="default" r:id="rId14"/>
      <w:headerReference w:type="first" r:id="rId15"/>
      <w:footerReference w:type="first" r:id="rId16"/>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12FA" w14:textId="77777777" w:rsidR="00A46605" w:rsidRDefault="00A46605" w:rsidP="003B1B95">
      <w:r>
        <w:separator/>
      </w:r>
    </w:p>
  </w:endnote>
  <w:endnote w:type="continuationSeparator" w:id="0">
    <w:p w14:paraId="30C9F4B9" w14:textId="77777777" w:rsidR="00A46605" w:rsidRDefault="00A46605"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9278" w14:textId="77777777" w:rsidR="00C332A7" w:rsidRPr="00323656" w:rsidRDefault="00225AB2" w:rsidP="00225AB2">
    <w:pPr>
      <w:tabs>
        <w:tab w:val="left" w:pos="6560"/>
        <w:tab w:val="right" w:pos="9652"/>
      </w:tabs>
    </w:pPr>
    <w:r>
      <w:tab/>
    </w:r>
    <w:r>
      <w:tab/>
    </w:r>
    <w:r w:rsidR="00231D14">
      <w:rPr>
        <w:noProof/>
        <w:lang w:eastAsia="en-GB"/>
      </w:rPr>
      <mc:AlternateContent>
        <mc:Choice Requires="wps">
          <w:drawing>
            <wp:anchor distT="0" distB="0" distL="114300" distR="114300" simplePos="0" relativeHeight="251658240" behindDoc="0" locked="0" layoutInCell="1" allowOverlap="1" wp14:anchorId="50435E48" wp14:editId="4384C8F2">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0A29515B"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5E48" id="_x0000_t202" coordsize="21600,21600" o:spt="202" path="m,l,21600r21600,l21600,xe">
              <v:stroke joinstyle="miter"/>
              <v:path gradientshapeok="t" o:connecttype="rect"/>
            </v:shapetype>
            <v:shape id="Text Box 9" o:spid="_x0000_s1026" type="#_x0000_t202" style="position:absolute;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14:paraId="0A29515B"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081B13">
      <w:rPr>
        <w:noProof/>
        <w:color w:val="0091A5"/>
      </w:rPr>
      <w:t>2</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081B13">
      <w:rPr>
        <w:noProof/>
        <w:color w:val="0091A5"/>
      </w:rPr>
      <w:t>2</w:t>
    </w:r>
    <w:r w:rsidR="0024550F" w:rsidRPr="00897388">
      <w:rPr>
        <w:color w:val="0091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99B0" w14:textId="77777777" w:rsidR="00323656" w:rsidRDefault="00231D14" w:rsidP="00323656">
    <w:pPr>
      <w:jc w:val="right"/>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289502BE" wp14:editId="779709B6">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5D11AA8"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502BE"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14:paraId="45D11AA8"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14:anchorId="785C9163" wp14:editId="12426FFD">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6FF3521"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9163" id="Text Box 5" o:spid="_x0000_s1028"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14:paraId="36FF3521" w14:textId="77777777" w:rsidR="00897388" w:rsidRDefault="00897388"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19CEFB7A" wp14:editId="3492447F">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6FF586F"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FB7A" id="Text Box 6" o:spid="_x0000_s1029"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14:paraId="36FF586F"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14:anchorId="6A5A996C" wp14:editId="30BCA38B">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FA540EE"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A996C" id="Text Box 1" o:spid="_x0000_s1030"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14:paraId="2FA540EE" w14:textId="77777777" w:rsidR="00897388" w:rsidRDefault="00897388"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14:anchorId="4FDAE722" wp14:editId="1BE1E2D0">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8441029"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E722" id="Text Box 2" o:spid="_x0000_s1031"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14:paraId="58441029"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14:anchorId="43C708C6" wp14:editId="45A86B25">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270B809"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08C6" id="Text Box 3" o:spid="_x0000_s1032"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14:paraId="4270B809" w14:textId="77777777" w:rsidR="00897388" w:rsidRDefault="00897388" w:rsidP="00897388">
                    <w:r>
                      <w:t>Author, date</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14:anchorId="692354C3" wp14:editId="0B77B361">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3E7D112"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54C3" id="Text Box 4" o:spid="_x0000_s1033"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14:paraId="33E7D112" w14:textId="77777777"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163204">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163204">
      <w:rPr>
        <w:noProof/>
        <w:color w:val="0091A5"/>
      </w:rPr>
      <w:t>1</w:t>
    </w:r>
    <w:r w:rsidR="0024550F" w:rsidRPr="00897388">
      <w:rPr>
        <w:color w:val="0091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8E47" w14:textId="77777777" w:rsidR="00A46605" w:rsidRDefault="00A46605" w:rsidP="003B1B95">
      <w:r>
        <w:separator/>
      </w:r>
    </w:p>
  </w:footnote>
  <w:footnote w:type="continuationSeparator" w:id="0">
    <w:p w14:paraId="665D7ACF" w14:textId="77777777" w:rsidR="00A46605" w:rsidRDefault="00A46605"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40EB" w14:textId="1CB20EAF" w:rsidR="003B1B95" w:rsidRDefault="00BE272F" w:rsidP="002D6CE5">
    <w:pPr>
      <w:pStyle w:val="Header"/>
      <w:jc w:val="right"/>
    </w:pPr>
    <w:r>
      <w:t xml:space="preserve">Paper </w:t>
    </w:r>
    <w:r w:rsidR="00070091">
      <w:t>1903-B10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14:paraId="3E6A5EFF" w14:textId="77777777" w:rsidTr="004A1361">
      <w:trPr>
        <w:trHeight w:val="1943"/>
      </w:trPr>
      <w:tc>
        <w:tcPr>
          <w:tcW w:w="6190" w:type="dxa"/>
        </w:tcPr>
        <w:p w14:paraId="29ABC9D3" w14:textId="77777777" w:rsidR="00081B13" w:rsidRPr="000E6135" w:rsidRDefault="00D62132" w:rsidP="000F26C5">
          <w:pPr>
            <w:rPr>
              <w:color w:val="0091A5"/>
              <w:sz w:val="96"/>
              <w:szCs w:val="96"/>
            </w:rPr>
          </w:pPr>
          <w:r>
            <w:rPr>
              <w:color w:val="0091A5"/>
              <w:sz w:val="96"/>
              <w:szCs w:val="96"/>
            </w:rPr>
            <w:t>Board Paper</w:t>
          </w:r>
        </w:p>
      </w:tc>
    </w:tr>
  </w:tbl>
  <w:p w14:paraId="11CB3116" w14:textId="77777777" w:rsidR="0003584B" w:rsidRDefault="00D62132" w:rsidP="0003584B">
    <w:pPr>
      <w:pStyle w:val="Header"/>
    </w:pPr>
    <w:r>
      <w:rPr>
        <w:noProof/>
        <w:lang w:eastAsia="en-GB"/>
      </w:rPr>
      <w:drawing>
        <wp:anchor distT="0" distB="0" distL="114300" distR="114300" simplePos="0" relativeHeight="251660288" behindDoc="0" locked="0" layoutInCell="1" allowOverlap="1" wp14:anchorId="581DCF1E" wp14:editId="0A9F9E9F">
          <wp:simplePos x="0" y="0"/>
          <wp:positionH relativeFrom="margin">
            <wp:align>left</wp:align>
          </wp:positionH>
          <wp:positionV relativeFrom="page">
            <wp:posOffset>460375</wp:posOffset>
          </wp:positionV>
          <wp:extent cx="1800225" cy="1238250"/>
          <wp:effectExtent l="0" t="0" r="9525" b="0"/>
          <wp:wrapTight wrapText="bothSides">
            <wp:wrapPolygon edited="0">
              <wp:start x="0" y="0"/>
              <wp:lineTo x="0" y="21268"/>
              <wp:lineTo x="21486" y="21268"/>
              <wp:lineTo x="21486" y="0"/>
              <wp:lineTo x="0"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p w14:paraId="3B26C14E" w14:textId="77777777" w:rsidR="0003584B" w:rsidRDefault="0003584B" w:rsidP="0003584B">
    <w:pPr>
      <w:pStyle w:val="Header"/>
    </w:pPr>
  </w:p>
  <w:p w14:paraId="58D29C89" w14:textId="77777777" w:rsidR="0003584B" w:rsidRDefault="0003584B" w:rsidP="0003584B">
    <w:pPr>
      <w:pStyle w:val="Header"/>
    </w:pPr>
  </w:p>
  <w:p w14:paraId="22CC0D63" w14:textId="77777777" w:rsidR="0003584B" w:rsidRDefault="0003584B" w:rsidP="0003584B">
    <w:pPr>
      <w:pStyle w:val="Header"/>
    </w:pPr>
  </w:p>
  <w:p w14:paraId="092A4BBC" w14:textId="77777777" w:rsidR="0003584B" w:rsidRDefault="0003584B" w:rsidP="0003584B">
    <w:pPr>
      <w:pStyle w:val="Header"/>
    </w:pPr>
  </w:p>
  <w:p w14:paraId="36A82AB0" w14:textId="77777777" w:rsidR="0003584B" w:rsidRDefault="0003584B" w:rsidP="0003584B">
    <w:pPr>
      <w:pStyle w:val="Header"/>
    </w:pPr>
  </w:p>
  <w:p w14:paraId="6C7A6F09" w14:textId="77777777" w:rsidR="0003584B" w:rsidRDefault="0003584B" w:rsidP="0003584B">
    <w:pPr>
      <w:pStyle w:val="Header"/>
    </w:pPr>
  </w:p>
  <w:p w14:paraId="3002A8F4" w14:textId="77777777" w:rsidR="0003584B" w:rsidRDefault="0003584B" w:rsidP="0003584B">
    <w:pPr>
      <w:pStyle w:val="Header"/>
    </w:pPr>
  </w:p>
  <w:p w14:paraId="711855B4" w14:textId="77777777" w:rsidR="0003584B" w:rsidRDefault="0003584B" w:rsidP="0003584B">
    <w:pPr>
      <w:pStyle w:val="Header"/>
    </w:pPr>
  </w:p>
  <w:p w14:paraId="4D9CDC04" w14:textId="77777777" w:rsidR="0003584B" w:rsidRDefault="0003584B" w:rsidP="0003584B">
    <w:pPr>
      <w:pStyle w:val="Header"/>
    </w:pPr>
  </w:p>
  <w:p w14:paraId="15B16896" w14:textId="77777777" w:rsidR="008A0F5F" w:rsidRDefault="008A0F5F">
    <w:pPr>
      <w:pStyle w:val="Header"/>
    </w:pPr>
  </w:p>
  <w:p w14:paraId="520601E1" w14:textId="77777777" w:rsidR="008A0F5F" w:rsidRDefault="008A0F5F">
    <w:pPr>
      <w:pStyle w:val="Header"/>
    </w:pPr>
  </w:p>
  <w:p w14:paraId="4B830834"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5974"/>
    <w:multiLevelType w:val="hybridMultilevel"/>
    <w:tmpl w:val="74F8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575"/>
    <w:multiLevelType w:val="hybridMultilevel"/>
    <w:tmpl w:val="E3189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18EB1243"/>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C3B6D"/>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74996"/>
    <w:multiLevelType w:val="hybridMultilevel"/>
    <w:tmpl w:val="6570F0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695EC1"/>
    <w:multiLevelType w:val="hybridMultilevel"/>
    <w:tmpl w:val="BDFE44EE"/>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14267B2"/>
    <w:multiLevelType w:val="hybridMultilevel"/>
    <w:tmpl w:val="B030BDA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346301A5"/>
    <w:multiLevelType w:val="hybridMultilevel"/>
    <w:tmpl w:val="90021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21208E"/>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A5DC7"/>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4D0915D2"/>
    <w:multiLevelType w:val="hybridMultilevel"/>
    <w:tmpl w:val="44DE5F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AD3B07"/>
    <w:multiLevelType w:val="hybridMultilevel"/>
    <w:tmpl w:val="970E6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856B8B"/>
    <w:multiLevelType w:val="hybridMultilevel"/>
    <w:tmpl w:val="00FE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9" w15:restartNumberingAfterBreak="0">
    <w:nsid w:val="6F6962A1"/>
    <w:multiLevelType w:val="hybridMultilevel"/>
    <w:tmpl w:val="F5741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703641"/>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F5632D"/>
    <w:multiLevelType w:val="hybridMultilevel"/>
    <w:tmpl w:val="0414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455C1D"/>
    <w:multiLevelType w:val="hybridMultilevel"/>
    <w:tmpl w:val="B4CEC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3"/>
  </w:num>
  <w:num w:numId="7">
    <w:abstractNumId w:val="14"/>
  </w:num>
  <w:num w:numId="8">
    <w:abstractNumId w:val="2"/>
  </w:num>
  <w:num w:numId="9">
    <w:abstractNumId w:val="2"/>
  </w:num>
  <w:num w:numId="10">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4"/>
  </w:num>
  <w:num w:numId="12">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4"/>
  </w:num>
  <w:num w:numId="14">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4"/>
  </w:num>
  <w:num w:numId="16">
    <w:abstractNumId w:val="17"/>
  </w:num>
  <w:num w:numId="17">
    <w:abstractNumId w:val="22"/>
  </w:num>
  <w:num w:numId="18">
    <w:abstractNumId w:val="10"/>
  </w:num>
  <w:num w:numId="19">
    <w:abstractNumId w:val="15"/>
  </w:num>
  <w:num w:numId="20">
    <w:abstractNumId w:val="7"/>
  </w:num>
  <w:num w:numId="21">
    <w:abstractNumId w:val="11"/>
  </w:num>
  <w:num w:numId="22">
    <w:abstractNumId w:val="3"/>
  </w:num>
  <w:num w:numId="23">
    <w:abstractNumId w:val="12"/>
  </w:num>
  <w:num w:numId="24">
    <w:abstractNumId w:val="20"/>
  </w:num>
  <w:num w:numId="25">
    <w:abstractNumId w:val="4"/>
  </w:num>
  <w:num w:numId="26">
    <w:abstractNumId w:val="16"/>
  </w:num>
  <w:num w:numId="27">
    <w:abstractNumId w:val="1"/>
  </w:num>
  <w:num w:numId="28">
    <w:abstractNumId w:val="21"/>
  </w:num>
  <w:num w:numId="29">
    <w:abstractNumId w:val="5"/>
  </w:num>
  <w:num w:numId="30">
    <w:abstractNumId w:val="6"/>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8193"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39"/>
    <w:rsid w:val="00001CAA"/>
    <w:rsid w:val="000063A0"/>
    <w:rsid w:val="0001105D"/>
    <w:rsid w:val="0003584B"/>
    <w:rsid w:val="000528DE"/>
    <w:rsid w:val="00057F0F"/>
    <w:rsid w:val="0006469D"/>
    <w:rsid w:val="00070091"/>
    <w:rsid w:val="0007217F"/>
    <w:rsid w:val="00081B13"/>
    <w:rsid w:val="000C3F9E"/>
    <w:rsid w:val="000D1041"/>
    <w:rsid w:val="000D42BC"/>
    <w:rsid w:val="000F26C5"/>
    <w:rsid w:val="0010023A"/>
    <w:rsid w:val="00111C12"/>
    <w:rsid w:val="00124C2B"/>
    <w:rsid w:val="00163204"/>
    <w:rsid w:val="001A49C5"/>
    <w:rsid w:val="001F6CEC"/>
    <w:rsid w:val="00204847"/>
    <w:rsid w:val="002232FF"/>
    <w:rsid w:val="00225AB2"/>
    <w:rsid w:val="00227FCF"/>
    <w:rsid w:val="002310C5"/>
    <w:rsid w:val="00231D14"/>
    <w:rsid w:val="00232103"/>
    <w:rsid w:val="00240B08"/>
    <w:rsid w:val="0024550F"/>
    <w:rsid w:val="0025166D"/>
    <w:rsid w:val="00257299"/>
    <w:rsid w:val="00295704"/>
    <w:rsid w:val="002B0FE6"/>
    <w:rsid w:val="002C1957"/>
    <w:rsid w:val="002C4676"/>
    <w:rsid w:val="002C7D1B"/>
    <w:rsid w:val="002D1C88"/>
    <w:rsid w:val="002D1E23"/>
    <w:rsid w:val="002D6CE5"/>
    <w:rsid w:val="00320176"/>
    <w:rsid w:val="00323656"/>
    <w:rsid w:val="00325394"/>
    <w:rsid w:val="00366E8B"/>
    <w:rsid w:val="003743C4"/>
    <w:rsid w:val="003A7A19"/>
    <w:rsid w:val="003B1B95"/>
    <w:rsid w:val="003B3FFC"/>
    <w:rsid w:val="003E31B8"/>
    <w:rsid w:val="003F7639"/>
    <w:rsid w:val="00421C65"/>
    <w:rsid w:val="00436A14"/>
    <w:rsid w:val="004A7EFB"/>
    <w:rsid w:val="004B2EE3"/>
    <w:rsid w:val="004B55D4"/>
    <w:rsid w:val="004D606F"/>
    <w:rsid w:val="004E070B"/>
    <w:rsid w:val="004E21FB"/>
    <w:rsid w:val="00504C76"/>
    <w:rsid w:val="0051775A"/>
    <w:rsid w:val="00567CF2"/>
    <w:rsid w:val="00580178"/>
    <w:rsid w:val="00593E74"/>
    <w:rsid w:val="005A0D52"/>
    <w:rsid w:val="005B301B"/>
    <w:rsid w:val="005B3580"/>
    <w:rsid w:val="005B6213"/>
    <w:rsid w:val="005C5EE6"/>
    <w:rsid w:val="005D1869"/>
    <w:rsid w:val="005F742E"/>
    <w:rsid w:val="00636E8E"/>
    <w:rsid w:val="00652B1E"/>
    <w:rsid w:val="0066120C"/>
    <w:rsid w:val="00666BB5"/>
    <w:rsid w:val="006A3790"/>
    <w:rsid w:val="006C58C5"/>
    <w:rsid w:val="006D6756"/>
    <w:rsid w:val="006D6A0D"/>
    <w:rsid w:val="006E1121"/>
    <w:rsid w:val="00773040"/>
    <w:rsid w:val="00777F61"/>
    <w:rsid w:val="00780D50"/>
    <w:rsid w:val="00783CEA"/>
    <w:rsid w:val="00794C61"/>
    <w:rsid w:val="007A78C9"/>
    <w:rsid w:val="007C7F2F"/>
    <w:rsid w:val="00820898"/>
    <w:rsid w:val="00832030"/>
    <w:rsid w:val="00842FC5"/>
    <w:rsid w:val="0085223F"/>
    <w:rsid w:val="00861D04"/>
    <w:rsid w:val="008837A9"/>
    <w:rsid w:val="00897388"/>
    <w:rsid w:val="008A0F5F"/>
    <w:rsid w:val="008A56C7"/>
    <w:rsid w:val="008B5FE6"/>
    <w:rsid w:val="008E295D"/>
    <w:rsid w:val="008E6805"/>
    <w:rsid w:val="008F11CB"/>
    <w:rsid w:val="0095246A"/>
    <w:rsid w:val="00967FB8"/>
    <w:rsid w:val="009B37B8"/>
    <w:rsid w:val="009E424B"/>
    <w:rsid w:val="00A13846"/>
    <w:rsid w:val="00A36091"/>
    <w:rsid w:val="00A46605"/>
    <w:rsid w:val="00A63022"/>
    <w:rsid w:val="00A73E72"/>
    <w:rsid w:val="00A908E3"/>
    <w:rsid w:val="00A914B7"/>
    <w:rsid w:val="00AA4D28"/>
    <w:rsid w:val="00AA54D9"/>
    <w:rsid w:val="00AB6FDE"/>
    <w:rsid w:val="00AB7169"/>
    <w:rsid w:val="00AE4565"/>
    <w:rsid w:val="00AF5EC2"/>
    <w:rsid w:val="00B02CD4"/>
    <w:rsid w:val="00B30A7C"/>
    <w:rsid w:val="00B322A0"/>
    <w:rsid w:val="00B654D7"/>
    <w:rsid w:val="00B8179B"/>
    <w:rsid w:val="00B90A54"/>
    <w:rsid w:val="00BA4AE0"/>
    <w:rsid w:val="00BA6DB2"/>
    <w:rsid w:val="00BB6BC3"/>
    <w:rsid w:val="00BE272F"/>
    <w:rsid w:val="00C222FD"/>
    <w:rsid w:val="00C332A7"/>
    <w:rsid w:val="00C3689F"/>
    <w:rsid w:val="00C37E1F"/>
    <w:rsid w:val="00C4472E"/>
    <w:rsid w:val="00C70646"/>
    <w:rsid w:val="00CA3E58"/>
    <w:rsid w:val="00CA5C51"/>
    <w:rsid w:val="00CB0986"/>
    <w:rsid w:val="00CD0AA9"/>
    <w:rsid w:val="00CD2068"/>
    <w:rsid w:val="00CD4B48"/>
    <w:rsid w:val="00CD66F3"/>
    <w:rsid w:val="00CE72E1"/>
    <w:rsid w:val="00CF6AC2"/>
    <w:rsid w:val="00D0161A"/>
    <w:rsid w:val="00D30CC0"/>
    <w:rsid w:val="00D4293C"/>
    <w:rsid w:val="00D54D88"/>
    <w:rsid w:val="00D62132"/>
    <w:rsid w:val="00D64E82"/>
    <w:rsid w:val="00D7089E"/>
    <w:rsid w:val="00DD66FC"/>
    <w:rsid w:val="00E3072A"/>
    <w:rsid w:val="00E33A2F"/>
    <w:rsid w:val="00E34243"/>
    <w:rsid w:val="00E95157"/>
    <w:rsid w:val="00EA1E4A"/>
    <w:rsid w:val="00EA5293"/>
    <w:rsid w:val="00EB3FDD"/>
    <w:rsid w:val="00EB4078"/>
    <w:rsid w:val="00EB53BC"/>
    <w:rsid w:val="00EC3FF1"/>
    <w:rsid w:val="00EE6FB7"/>
    <w:rsid w:val="00EE70F2"/>
    <w:rsid w:val="00EF38E7"/>
    <w:rsid w:val="00F4177D"/>
    <w:rsid w:val="00F63843"/>
    <w:rsid w:val="00FA6EB6"/>
    <w:rsid w:val="00FB70DB"/>
    <w:rsid w:val="00FC35F8"/>
    <w:rsid w:val="00FC39DE"/>
    <w:rsid w:val="00FD4D0D"/>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0091a5">
      <v:stroke color="#0091a5" weight="1pt"/>
      <o:colormru v:ext="edit" colors="#0091a5"/>
    </o:shapedefaults>
    <o:shapelayout v:ext="edit">
      <o:idmap v:ext="edit" data="1"/>
    </o:shapelayout>
  </w:shapeDefaults>
  <w:decimalSymbol w:val="."/>
  <w:listSeparator w:val=","/>
  <w14:docId w14:val="6433A345"/>
  <w15:docId w15:val="{C4221FC8-B7A0-41BA-8CD7-18A3EFDE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ListParagraph">
    <w:name w:val="List Paragraph"/>
    <w:basedOn w:val="Normal"/>
    <w:uiPriority w:val="34"/>
    <w:qFormat/>
    <w:rsid w:val="0077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3939">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ene.mills\Desktop\Board%20Paper%20Template\Board%20paper%20template%202019.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E124948CAA73C4E8A2131A2F067183E" ma:contentTypeVersion="64" ma:contentTypeDescription="" ma:contentTypeScope="" ma:versionID="1a5111a71ffc3f8f45be7d974f8d739e">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GOVE-1243399422-433</_dlc_DocId>
    <_dlc_DocIdUrl xmlns="9be56660-2c31-41ef-bc00-23e72f632f2a">
      <Url>https://cyfoethnaturiolcymru.sharepoint.com/teams/governance/bd/_layouts/15/DocIdRedir.aspx?ID=GOVE-1243399422-433</Url>
      <Description>GOVE-1243399422-433</Description>
    </_dlc_DocIdUrl>
  </documentManagement>
</p:properti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F025B-4537-42D5-B109-30BC368E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D659D-9DCB-4446-A6ED-F83E23461EB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be56660-2c31-41ef-bc00-23e72f632f2a"/>
    <ds:schemaRef ds:uri="http://www.w3.org/XML/1998/namespace"/>
  </ds:schemaRefs>
</ds:datastoreItem>
</file>

<file path=customXml/itemProps3.xml><?xml version="1.0" encoding="utf-8"?>
<ds:datastoreItem xmlns:ds="http://schemas.openxmlformats.org/officeDocument/2006/customXml" ds:itemID="{F36FF413-C891-49C3-9B26-810B3501B9A7}">
  <ds:schemaRefs>
    <ds:schemaRef ds:uri="Microsoft.SharePoint.Taxonomy.ContentTypeSync"/>
  </ds:schemaRefs>
</ds:datastoreItem>
</file>

<file path=customXml/itemProps4.xml><?xml version="1.0" encoding="utf-8"?>
<ds:datastoreItem xmlns:ds="http://schemas.openxmlformats.org/officeDocument/2006/customXml" ds:itemID="{5757EAF6-7A60-4406-B77C-14F4A2F579F3}">
  <ds:schemaRefs>
    <ds:schemaRef ds:uri="http://schemas.microsoft.com/sharepoint/events"/>
  </ds:schemaRefs>
</ds:datastoreItem>
</file>

<file path=customXml/itemProps5.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6.xml><?xml version="1.0" encoding="utf-8"?>
<ds:datastoreItem xmlns:ds="http://schemas.openxmlformats.org/officeDocument/2006/customXml" ds:itemID="{E7E954B3-8421-46C7-ADFF-F7C349E2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paper template 2019</Template>
  <TotalTime>0</TotalTime>
  <Pages>5</Pages>
  <Words>1729</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 Geralene</dc:creator>
  <cp:lastModifiedBy>Jenkins, Owain</cp:lastModifiedBy>
  <cp:revision>2</cp:revision>
  <cp:lastPrinted>2013-10-01T08:52:00Z</cp:lastPrinted>
  <dcterms:created xsi:type="dcterms:W3CDTF">2019-04-05T11:28:00Z</dcterms:created>
  <dcterms:modified xsi:type="dcterms:W3CDTF">2019-04-05T11:28:00Z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0x01010067EB80C5FE939D4A9B3D8BA62129B7F501002E124948CAA73C4E8A2131A2F067183E</vt:lpwstr>
  </property>
  <property fmtid="{D5CDD505-2E9C-101B-9397-08002B2CF9AE}" pid="3" name="_dlc_DocIdItemGuid">
    <vt:lpwstr>6e3d4658-f035-4025-accd-38b4e981e67a</vt:lpwstr>
  </property>
  <property fmtid="{D5CDD505-2E9C-101B-9397-08002B2CF9AE}" pid="4" name="AuthorIds_UIVersion_1536">
    <vt:lpwstr>2497</vt:lpwstr>
  </property>
</Properties>
</file>